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dTable4-Accent4"/>
        <w:tblW w:w="0" w:type="auto"/>
        <w:tblLook w:val="04A0" w:firstRow="1" w:lastRow="0" w:firstColumn="1" w:lastColumn="0" w:noHBand="0" w:noVBand="1"/>
      </w:tblPr>
      <w:tblGrid>
        <w:gridCol w:w="524"/>
        <w:gridCol w:w="2127"/>
        <w:gridCol w:w="2275"/>
        <w:gridCol w:w="6831"/>
        <w:gridCol w:w="2191"/>
      </w:tblGrid>
      <w:tr w:rsidR="0077377B" w:rsidRPr="00C422C8" w14:paraId="08196C99" w14:textId="77777777" w:rsidTr="00F94B1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24" w:type="dxa"/>
          </w:tcPr>
          <w:p w14:paraId="529D9360" w14:textId="1BC0F6D7" w:rsidR="00B538CB" w:rsidRPr="00C422C8" w:rsidRDefault="00B538CB" w:rsidP="00B538CB">
            <w:pPr>
              <w:jc w:val="center"/>
              <w:rPr>
                <w:rFonts w:ascii="Times New Roman" w:hAnsi="Times New Roman" w:cs="Times New Roman"/>
              </w:rPr>
            </w:pPr>
            <w:r w:rsidRPr="00C422C8">
              <w:rPr>
                <w:rFonts w:ascii="Times New Roman" w:hAnsi="Times New Roman" w:cs="Times New Roman"/>
              </w:rPr>
              <w:t>№</w:t>
            </w:r>
          </w:p>
        </w:tc>
        <w:tc>
          <w:tcPr>
            <w:tcW w:w="2127" w:type="dxa"/>
          </w:tcPr>
          <w:p w14:paraId="2B46A3CD" w14:textId="19B868EA" w:rsidR="00B538CB" w:rsidRPr="00C422C8" w:rsidRDefault="00B538CB" w:rsidP="00B538C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ВЕДОМСТВО</w:t>
            </w:r>
          </w:p>
        </w:tc>
        <w:tc>
          <w:tcPr>
            <w:tcW w:w="2275" w:type="dxa"/>
          </w:tcPr>
          <w:p w14:paraId="5006CA36" w14:textId="5D0FFE31" w:rsidR="00B538CB" w:rsidRPr="00C422C8" w:rsidRDefault="00B538CB" w:rsidP="00B538C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ИЗХ. № /ДАТА НА ПОЛУЧАВАНЕ</w:t>
            </w:r>
          </w:p>
        </w:tc>
        <w:tc>
          <w:tcPr>
            <w:tcW w:w="6831" w:type="dxa"/>
          </w:tcPr>
          <w:p w14:paraId="2F88522F" w14:textId="13F7CCE4" w:rsidR="00B538CB" w:rsidRPr="00C422C8" w:rsidRDefault="00B538CB" w:rsidP="00B538C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ОПИСАНИЕ НА СТАНОВИЩЕТО</w:t>
            </w:r>
          </w:p>
        </w:tc>
        <w:tc>
          <w:tcPr>
            <w:tcW w:w="2191" w:type="dxa"/>
          </w:tcPr>
          <w:p w14:paraId="1BC5A360" w14:textId="247BFF53" w:rsidR="00B538CB" w:rsidRPr="00C422C8" w:rsidRDefault="00B538CB" w:rsidP="00B538CB">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НАЧИН НА ОТРАЗЯВАНЕ И МОТИВИ ЗА НЕПРИЕТИ ЗАБЕЛЕЖКИ</w:t>
            </w:r>
          </w:p>
        </w:tc>
      </w:tr>
      <w:tr w:rsidR="0077377B" w:rsidRPr="00C422C8" w14:paraId="317C6C94"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6211742C" w14:textId="36BFAD4C" w:rsidR="00B538CB" w:rsidRPr="00C422C8" w:rsidRDefault="00D8690C" w:rsidP="00B538CB">
            <w:pPr>
              <w:rPr>
                <w:rFonts w:ascii="Times New Roman" w:hAnsi="Times New Roman" w:cs="Times New Roman"/>
              </w:rPr>
            </w:pPr>
            <w:r w:rsidRPr="00C422C8">
              <w:rPr>
                <w:rFonts w:ascii="Times New Roman" w:hAnsi="Times New Roman" w:cs="Times New Roman"/>
              </w:rPr>
              <w:t>1</w:t>
            </w:r>
          </w:p>
        </w:tc>
        <w:tc>
          <w:tcPr>
            <w:tcW w:w="2127" w:type="dxa"/>
          </w:tcPr>
          <w:p w14:paraId="5D2E420C" w14:textId="022BB6D3" w:rsidR="00B538CB" w:rsidRPr="00C422C8" w:rsidRDefault="00B538CB"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Водоснабдяване и канализация ЕООД - Плевен</w:t>
            </w:r>
          </w:p>
        </w:tc>
        <w:tc>
          <w:tcPr>
            <w:tcW w:w="2275" w:type="dxa"/>
          </w:tcPr>
          <w:p w14:paraId="52A8BACC" w14:textId="56AD9C50" w:rsidR="00B538CB" w:rsidRPr="00C422C8" w:rsidRDefault="00B538CB"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1512/12.05.2025</w:t>
            </w:r>
          </w:p>
        </w:tc>
        <w:tc>
          <w:tcPr>
            <w:tcW w:w="6831" w:type="dxa"/>
          </w:tcPr>
          <w:p w14:paraId="2E13084A" w14:textId="66AA5EE2" w:rsidR="00B538CB" w:rsidRPr="00C422C8" w:rsidRDefault="00B538CB" w:rsidP="00B972C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Уведомяваме Ви, че нямам забележки, допълнения и препоръки по изготвения Доклад за Екологична оценка (ЕО) на Проекта на генерален план на пристанище за обществен транспорт Русе. </w:t>
            </w:r>
          </w:p>
        </w:tc>
        <w:tc>
          <w:tcPr>
            <w:tcW w:w="2191" w:type="dxa"/>
          </w:tcPr>
          <w:p w14:paraId="2B31D31B" w14:textId="07E460CC" w:rsidR="00B538CB" w:rsidRPr="004A2861" w:rsidRDefault="00B538CB"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C422C8">
              <w:rPr>
                <w:rFonts w:ascii="Times New Roman" w:hAnsi="Times New Roman" w:cs="Times New Roman"/>
                <w:color w:val="000000"/>
              </w:rPr>
              <w:t>Становището не съдържа препоръки и бележки към ДЕО</w:t>
            </w:r>
          </w:p>
        </w:tc>
      </w:tr>
      <w:tr w:rsidR="00215EA8" w:rsidRPr="00C422C8" w14:paraId="4E9CBF62"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45C760E2" w14:textId="72680D74" w:rsidR="00B538CB" w:rsidRPr="00C422C8" w:rsidRDefault="00D8690C" w:rsidP="00B538CB">
            <w:pPr>
              <w:rPr>
                <w:rFonts w:ascii="Times New Roman" w:hAnsi="Times New Roman" w:cs="Times New Roman"/>
              </w:rPr>
            </w:pPr>
            <w:r w:rsidRPr="00C422C8">
              <w:rPr>
                <w:rFonts w:ascii="Times New Roman" w:hAnsi="Times New Roman" w:cs="Times New Roman"/>
              </w:rPr>
              <w:t>2</w:t>
            </w:r>
          </w:p>
        </w:tc>
        <w:tc>
          <w:tcPr>
            <w:tcW w:w="2127" w:type="dxa"/>
          </w:tcPr>
          <w:p w14:paraId="37D97F6C" w14:textId="52A2ACAE"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Изпълнителна агенция по горите </w:t>
            </w:r>
          </w:p>
        </w:tc>
        <w:tc>
          <w:tcPr>
            <w:tcW w:w="2275" w:type="dxa"/>
          </w:tcPr>
          <w:p w14:paraId="2DFA1A18" w14:textId="5D5290E9"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ИАГ-10922-14.05.2025</w:t>
            </w:r>
          </w:p>
        </w:tc>
        <w:tc>
          <w:tcPr>
            <w:tcW w:w="6831" w:type="dxa"/>
          </w:tcPr>
          <w:p w14:paraId="6EC7C59C" w14:textId="0CE84B41" w:rsidR="00B538CB" w:rsidRPr="00C422C8" w:rsidRDefault="00B538CB" w:rsidP="00B972C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В Изпълнителна агенция по горите (ИАГ), с регистрационен индекс ИАГ- 10455/09.05.2025 г., постъпи писмо с рег. индекс 04-14-2-56/09.05.2025 г. на генералния директор на ДП „Пристанищна инфраструктура“, относно провеждане на консултации по изготвения доклад за екологична оценка на „Проект на генерален план на пристанище за обществен транспорт Русе“.</w:t>
            </w:r>
            <w:r w:rsidRPr="00C422C8">
              <w:rPr>
                <w:rFonts w:ascii="Times New Roman" w:hAnsi="Times New Roman" w:cs="Times New Roman"/>
                <w:color w:val="000000"/>
              </w:rPr>
              <w:br/>
              <w:t xml:space="preserve">Информацията за проекта е публикуван на следния адрес: http://bgports.bg/bg/page/121. </w:t>
            </w:r>
            <w:r w:rsidRPr="00C422C8">
              <w:rPr>
                <w:rFonts w:ascii="Times New Roman" w:hAnsi="Times New Roman" w:cs="Times New Roman"/>
                <w:color w:val="000000"/>
              </w:rPr>
              <w:br/>
              <w:t>Във връзка с горното, приложено представям Ви, писмо с рег. индекс 04-14-2-56/09.05.2025 г. на генералния директор на ДП „Пристанищна инфраструктура“ и моля, в непродължителен срок да се запознаете с материалите по изготвения доклад за екологична оценка и да изразите Вашето писмено становище до ДП „Пристанищна инфраструктура“, с копие до ИАГ.</w:t>
            </w:r>
          </w:p>
        </w:tc>
        <w:tc>
          <w:tcPr>
            <w:tcW w:w="2191" w:type="dxa"/>
          </w:tcPr>
          <w:p w14:paraId="00F4E909" w14:textId="5F62200A" w:rsidR="00B538CB" w:rsidRPr="004A2861" w:rsidRDefault="004A2861"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lang w:val="en-US"/>
              </w:rPr>
            </w:pPr>
            <w:r w:rsidRPr="00C422C8">
              <w:rPr>
                <w:rFonts w:ascii="Times New Roman" w:hAnsi="Times New Roman" w:cs="Times New Roman"/>
                <w:color w:val="000000"/>
              </w:rPr>
              <w:t>Становището не съдържа препоръки и бележки към ДЕО</w:t>
            </w:r>
          </w:p>
        </w:tc>
      </w:tr>
      <w:tr w:rsidR="0077377B" w:rsidRPr="00C422C8" w14:paraId="793C7C43"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05AC8B01" w14:textId="1CD91AF9" w:rsidR="00B538CB" w:rsidRPr="00C422C8" w:rsidRDefault="00D8690C" w:rsidP="00B538CB">
            <w:pPr>
              <w:rPr>
                <w:rFonts w:ascii="Times New Roman" w:hAnsi="Times New Roman" w:cs="Times New Roman"/>
              </w:rPr>
            </w:pPr>
            <w:r w:rsidRPr="00C422C8">
              <w:rPr>
                <w:rFonts w:ascii="Times New Roman" w:hAnsi="Times New Roman" w:cs="Times New Roman"/>
              </w:rPr>
              <w:t>3</w:t>
            </w:r>
          </w:p>
        </w:tc>
        <w:tc>
          <w:tcPr>
            <w:tcW w:w="2127" w:type="dxa"/>
          </w:tcPr>
          <w:p w14:paraId="367FB221" w14:textId="299F9A89" w:rsidR="00B538CB" w:rsidRPr="00C422C8" w:rsidRDefault="00B538CB"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Изпълнителна агенция "Проучване и </w:t>
            </w:r>
            <w:r w:rsidR="00B972CE" w:rsidRPr="00C422C8">
              <w:rPr>
                <w:rFonts w:ascii="Times New Roman" w:hAnsi="Times New Roman" w:cs="Times New Roman"/>
              </w:rPr>
              <w:t>поддържане</w:t>
            </w:r>
            <w:r w:rsidRPr="00C422C8">
              <w:rPr>
                <w:rFonts w:ascii="Times New Roman" w:hAnsi="Times New Roman" w:cs="Times New Roman"/>
              </w:rPr>
              <w:t xml:space="preserve"> на река Дунав"</w:t>
            </w:r>
          </w:p>
        </w:tc>
        <w:tc>
          <w:tcPr>
            <w:tcW w:w="2275" w:type="dxa"/>
          </w:tcPr>
          <w:p w14:paraId="5BE15F6C" w14:textId="438E3168" w:rsidR="00B538CB" w:rsidRPr="00C422C8" w:rsidRDefault="00B538CB"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изх-VIII-1/238 от 14.05.2025г.</w:t>
            </w:r>
          </w:p>
        </w:tc>
        <w:tc>
          <w:tcPr>
            <w:tcW w:w="6831" w:type="dxa"/>
          </w:tcPr>
          <w:p w14:paraId="483331BD" w14:textId="77777777" w:rsidR="004A2861" w:rsidRDefault="00B538CB" w:rsidP="00B972C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C422C8">
              <w:rPr>
                <w:rFonts w:ascii="Times New Roman" w:hAnsi="Times New Roman" w:cs="Times New Roman"/>
                <w:color w:val="000000"/>
              </w:rPr>
              <w:t xml:space="preserve">Във връзка с Ваше писмо за провеждане на консултации по изготвения Доклад за Екологична оценка (ЕО) на „Проект на Генерален план на пристанище за обществен транспорт Русе с вх. №IV-519/08.05.2025 г. Ви информирам, че При реализиране на целите на Генералния план (с териториален обхват: Пристанищен терминал Русе – Запад, Пристанищен терминал Русе – Център, Пристанищен терминал Русе-Изток – 2, Пристанищен терминал Русе-Изток – 1,  Пристанищен терминал </w:t>
            </w:r>
            <w:r w:rsidRPr="00C422C8">
              <w:rPr>
                <w:rFonts w:ascii="Times New Roman" w:hAnsi="Times New Roman" w:cs="Times New Roman"/>
                <w:color w:val="000000"/>
              </w:rPr>
              <w:lastRenderedPageBreak/>
              <w:t>Тутракан, Фериботен терминал Силистра, Пристанищен терминал Силистра,  Пристанищен терминал Сомовит, Пристанищен терминал Никопол, Пристанищен терминал Свищов) по отношение на подобряване на транспортните, технологичните, инфраструктурните проекти, свързани с организацията на пристанищните дейности, следва да се опазят имоти и съоръжения на ИАППД в обсега на инфраструктурата на пристанище за обществен транспорт Русе, предмет на текущата разработка</w:t>
            </w:r>
            <w:r w:rsidR="00B972CE" w:rsidRPr="00C422C8">
              <w:rPr>
                <w:rFonts w:ascii="Times New Roman" w:hAnsi="Times New Roman" w:cs="Times New Roman"/>
                <w:color w:val="000000"/>
              </w:rPr>
              <w:t>,</w:t>
            </w:r>
            <w:r w:rsidRPr="00C422C8">
              <w:rPr>
                <w:rFonts w:ascii="Times New Roman" w:hAnsi="Times New Roman" w:cs="Times New Roman"/>
                <w:color w:val="000000"/>
              </w:rPr>
              <w:t xml:space="preserve"> както следва:</w:t>
            </w:r>
          </w:p>
          <w:p w14:paraId="35E3E856" w14:textId="77777777" w:rsidR="004A2861" w:rsidRDefault="00B538CB" w:rsidP="00B972C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C422C8">
              <w:rPr>
                <w:rFonts w:ascii="Times New Roman" w:hAnsi="Times New Roman" w:cs="Times New Roman"/>
                <w:color w:val="000000"/>
              </w:rPr>
              <w:t>- Сграда Склад с местонахождение гр. Русе, ул. „Пристанищна № 17“, с идентификатор 63427.2.5688.3, разположена в имот с идентификатор 63427.2.5688 по КККР на гр. Русе.</w:t>
            </w:r>
            <w:r w:rsidRPr="00C422C8">
              <w:rPr>
                <w:rFonts w:ascii="Times New Roman" w:hAnsi="Times New Roman" w:cs="Times New Roman"/>
                <w:color w:val="000000"/>
              </w:rPr>
              <w:br/>
              <w:t xml:space="preserve">- Постройка „Самопишещ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с местонахождение гр. Русе, ул. „Пристанищна“ с идентификатор 63427.2.5688.7, разположена в имот с идентификатор 63427.2.5688 по КККР на гр. Русе.</w:t>
            </w:r>
            <w:r w:rsidRPr="00C422C8">
              <w:rPr>
                <w:rFonts w:ascii="Times New Roman" w:hAnsi="Times New Roman" w:cs="Times New Roman"/>
                <w:color w:val="000000"/>
              </w:rPr>
              <w:br/>
              <w:t xml:space="preserve">- Автоматична хидрометрична станция Русе, включително електронно информационно табло, с местонахождение гр. Русе, ул. „Пристанищна“, разположена върху постройка „Самопишещ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с идентификатор 63427.2.5688.7, разположена в имот с идентификатор 63427.2.5688 по КККР на гр. Русе.</w:t>
            </w:r>
            <w:r w:rsidRPr="00C422C8">
              <w:rPr>
                <w:rFonts w:ascii="Times New Roman" w:hAnsi="Times New Roman" w:cs="Times New Roman"/>
                <w:color w:val="000000"/>
              </w:rPr>
              <w:br/>
              <w:t>- Автоматична хидрометрична и метеорологична станция Тутракан, включително електронно информационно табло, с местонахождение гр. Тутракан, ул. „Крайбрежна“, квартал 9, УПИ I-3555, разположена в имот с идентификатор 73496.500.3555 по КККР на гр. Тутракан.</w:t>
            </w:r>
            <w:r w:rsidRPr="00C422C8">
              <w:rPr>
                <w:rFonts w:ascii="Times New Roman" w:hAnsi="Times New Roman" w:cs="Times New Roman"/>
                <w:color w:val="000000"/>
              </w:rPr>
              <w:br/>
              <w:t xml:space="preserve">- Автоматична хидрометрична и метеорологична станция Силистра, включително електронно информационно табло, с </w:t>
            </w:r>
            <w:r w:rsidRPr="00C422C8">
              <w:rPr>
                <w:rFonts w:ascii="Times New Roman" w:hAnsi="Times New Roman" w:cs="Times New Roman"/>
                <w:color w:val="000000"/>
              </w:rPr>
              <w:lastRenderedPageBreak/>
              <w:t>местонахождение гр. Силистра, разположена в ПИ 66425.500.6051 по КККР на гр. Силистра.</w:t>
            </w:r>
            <w:r w:rsidRPr="00C422C8">
              <w:rPr>
                <w:rFonts w:ascii="Times New Roman" w:hAnsi="Times New Roman" w:cs="Times New Roman"/>
                <w:color w:val="000000"/>
              </w:rPr>
              <w:br/>
              <w:t xml:space="preserve">- Автоматична хидрометрична и метеорологична станция Никопол, включително електронно информационно табло, с местонахождение гр. Никопол, разположена в ПИ 51723.500.1348 по КККР на гр. Никопол (УПИ VIII-1326, 1114, 1111, 1348, 1117, кв. 25 по регулационния план на гр. Никопол). </w:t>
            </w:r>
            <w:r w:rsidRPr="00C422C8">
              <w:rPr>
                <w:rFonts w:ascii="Times New Roman" w:hAnsi="Times New Roman" w:cs="Times New Roman"/>
                <w:color w:val="000000"/>
              </w:rPr>
              <w:br/>
              <w:t>- Автоматична хидрометрична и метеорологична станция Свищов, включително електронно информационно табло, с местонахождение гр. Свищов, УПИ II, кв. 85 по плана на гр. Свищов, ул. „Отец Паисий“, разположена в ПИ 65766.501.158 и ПИ 65766.703.67 по КККР на гр. Свищов.</w:t>
            </w:r>
            <w:r w:rsidRPr="00C422C8">
              <w:rPr>
                <w:rFonts w:ascii="Times New Roman" w:hAnsi="Times New Roman" w:cs="Times New Roman"/>
                <w:color w:val="000000"/>
              </w:rPr>
              <w:br/>
              <w:t>- МТО парк Свищов, разположен в гр. Свищов, с местонахождение гр. Свищов, ул. „Отец Паисий“, разположен в ПИ 65766.703.67 по КККР на гр. Свищов.</w:t>
            </w:r>
            <w:r w:rsidRPr="00C422C8">
              <w:rPr>
                <w:rFonts w:ascii="Times New Roman" w:hAnsi="Times New Roman" w:cs="Times New Roman"/>
                <w:color w:val="000000"/>
              </w:rPr>
              <w:br/>
              <w:t>- МТО парк Силистра, разположен в гр. Силистра, с местонахождение гр. Силистра, разположена в ПИ 66425.501.8986 по КККР на гр. Силистра.</w:t>
            </w:r>
            <w:r w:rsidRPr="00C422C8">
              <w:rPr>
                <w:rFonts w:ascii="Times New Roman" w:hAnsi="Times New Roman" w:cs="Times New Roman"/>
                <w:color w:val="000000"/>
              </w:rPr>
              <w:br/>
              <w:t xml:space="preserve">- </w:t>
            </w:r>
            <w:proofErr w:type="spellStart"/>
            <w:r w:rsidRPr="00C422C8">
              <w:rPr>
                <w:rFonts w:ascii="Times New Roman" w:hAnsi="Times New Roman" w:cs="Times New Roman"/>
                <w:color w:val="000000"/>
              </w:rPr>
              <w:t>Пегели</w:t>
            </w:r>
            <w:proofErr w:type="spellEnd"/>
            <w:r w:rsidRPr="00C422C8">
              <w:rPr>
                <w:rFonts w:ascii="Times New Roman" w:hAnsi="Times New Roman" w:cs="Times New Roman"/>
                <w:color w:val="000000"/>
              </w:rPr>
              <w:t xml:space="preserve"> за отчитане на водното ниво на река Дунав, разположени стационарно по наклона на кейовите стени в гр. Русе, Тутракан, Силистра, Свищов, Никопол, с приблизителни географски координати:</w:t>
            </w:r>
          </w:p>
          <w:p w14:paraId="70169E5A" w14:textId="64657B1B" w:rsidR="00B538CB" w:rsidRPr="00C422C8" w:rsidRDefault="00B538CB" w:rsidP="00B972CE">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43°37'23.56"N, 25°20'47.95"E –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xml:space="preserve"> Свищов</w:t>
            </w:r>
            <w:r w:rsidRPr="00C422C8">
              <w:rPr>
                <w:rFonts w:ascii="Times New Roman" w:hAnsi="Times New Roman" w:cs="Times New Roman"/>
                <w:color w:val="000000"/>
              </w:rPr>
              <w:br/>
              <w:t xml:space="preserve">43°50'52.46"N, 25°56'42.97"E –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xml:space="preserve"> Русе</w:t>
            </w:r>
            <w:r w:rsidRPr="00C422C8">
              <w:rPr>
                <w:rFonts w:ascii="Times New Roman" w:hAnsi="Times New Roman" w:cs="Times New Roman"/>
                <w:color w:val="000000"/>
              </w:rPr>
              <w:br/>
              <w:t xml:space="preserve">44°03'03.83"N, 26°36'30.43"E –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xml:space="preserve"> Тутракан</w:t>
            </w:r>
            <w:r w:rsidRPr="00C422C8">
              <w:rPr>
                <w:rFonts w:ascii="Times New Roman" w:hAnsi="Times New Roman" w:cs="Times New Roman"/>
                <w:color w:val="000000"/>
              </w:rPr>
              <w:br/>
              <w:t xml:space="preserve">44°07'27.10"N, 27°15'55.78"E –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xml:space="preserve"> Силистра</w:t>
            </w:r>
            <w:r w:rsidRPr="00C422C8">
              <w:rPr>
                <w:rFonts w:ascii="Times New Roman" w:hAnsi="Times New Roman" w:cs="Times New Roman"/>
                <w:color w:val="000000"/>
              </w:rPr>
              <w:br/>
              <w:t xml:space="preserve">43°42'19.20"N, 24°53'26.9"E – </w:t>
            </w:r>
            <w:proofErr w:type="spellStart"/>
            <w:r w:rsidRPr="00C422C8">
              <w:rPr>
                <w:rFonts w:ascii="Times New Roman" w:hAnsi="Times New Roman" w:cs="Times New Roman"/>
                <w:color w:val="000000"/>
              </w:rPr>
              <w:t>пегел</w:t>
            </w:r>
            <w:proofErr w:type="spellEnd"/>
            <w:r w:rsidRPr="00C422C8">
              <w:rPr>
                <w:rFonts w:ascii="Times New Roman" w:hAnsi="Times New Roman" w:cs="Times New Roman"/>
                <w:color w:val="000000"/>
              </w:rPr>
              <w:t xml:space="preserve"> Никопол</w:t>
            </w:r>
            <w:r w:rsidRPr="00C422C8">
              <w:rPr>
                <w:rFonts w:ascii="Times New Roman" w:hAnsi="Times New Roman" w:cs="Times New Roman"/>
                <w:color w:val="000000"/>
              </w:rPr>
              <w:br/>
            </w:r>
            <w:r w:rsidRPr="00C422C8">
              <w:rPr>
                <w:rFonts w:ascii="Times New Roman" w:hAnsi="Times New Roman" w:cs="Times New Roman"/>
                <w:color w:val="000000"/>
              </w:rPr>
              <w:lastRenderedPageBreak/>
              <w:t xml:space="preserve">Да се гарантира продължаващото използване на помещения, в които са разположени териториални звена на ИАППД както следва: </w:t>
            </w:r>
            <w:r w:rsidRPr="00C422C8">
              <w:rPr>
                <w:rFonts w:ascii="Times New Roman" w:hAnsi="Times New Roman" w:cs="Times New Roman"/>
                <w:color w:val="000000"/>
              </w:rPr>
              <w:br/>
              <w:t>- Помещения в сграда на пристанище в гр. Силистра, намираща се на територията на пристанищен терминал Силистра, с идентификатор 66425.501.8986.1 по КККР на гр. Силистра.</w:t>
            </w:r>
            <w:r w:rsidRPr="00C422C8">
              <w:rPr>
                <w:rFonts w:ascii="Times New Roman" w:hAnsi="Times New Roman" w:cs="Times New Roman"/>
                <w:color w:val="000000"/>
              </w:rPr>
              <w:br/>
              <w:t>- Помещения в сграда на пристанище в гр. Свищов, намираща се на територията на пристанищен терминал Свищов, с идентификатор 65766.703.67.8 по КККР на гр. Свищов.</w:t>
            </w:r>
          </w:p>
        </w:tc>
        <w:tc>
          <w:tcPr>
            <w:tcW w:w="2191" w:type="dxa"/>
          </w:tcPr>
          <w:p w14:paraId="2EC5E705" w14:textId="4F589C59" w:rsidR="00B538CB" w:rsidRPr="004A2861" w:rsidRDefault="004A2861" w:rsidP="00B538CB">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lang w:val="en-US"/>
              </w:rPr>
            </w:pPr>
            <w:r w:rsidRPr="00C422C8">
              <w:rPr>
                <w:rFonts w:ascii="Times New Roman" w:hAnsi="Times New Roman" w:cs="Times New Roman"/>
                <w:color w:val="000000"/>
              </w:rPr>
              <w:lastRenderedPageBreak/>
              <w:t>Становището не съдържа препоръки и бележки към ДЕО</w:t>
            </w:r>
            <w:r>
              <w:rPr>
                <w:rFonts w:ascii="Times New Roman" w:hAnsi="Times New Roman" w:cs="Times New Roman"/>
                <w:color w:val="000000"/>
              </w:rPr>
              <w:t xml:space="preserve">. Отправените такива са във връзка с Генералния план </w:t>
            </w:r>
            <w:r>
              <w:rPr>
                <w:rFonts w:ascii="Times New Roman" w:hAnsi="Times New Roman" w:cs="Times New Roman"/>
                <w:color w:val="000000"/>
              </w:rPr>
              <w:lastRenderedPageBreak/>
              <w:t>на пристанище за обществен транспорт Русе и неговите предвиждания.</w:t>
            </w:r>
          </w:p>
        </w:tc>
      </w:tr>
      <w:tr w:rsidR="00215EA8" w:rsidRPr="00C422C8" w14:paraId="2BB5D384"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61099A17" w14:textId="4FEC7170" w:rsidR="00B538CB" w:rsidRPr="00C422C8" w:rsidRDefault="00D8690C" w:rsidP="00B538CB">
            <w:pPr>
              <w:rPr>
                <w:rFonts w:ascii="Times New Roman" w:hAnsi="Times New Roman" w:cs="Times New Roman"/>
              </w:rPr>
            </w:pPr>
            <w:r w:rsidRPr="00C422C8">
              <w:rPr>
                <w:rFonts w:ascii="Times New Roman" w:hAnsi="Times New Roman" w:cs="Times New Roman"/>
              </w:rPr>
              <w:lastRenderedPageBreak/>
              <w:t>4</w:t>
            </w:r>
          </w:p>
        </w:tc>
        <w:tc>
          <w:tcPr>
            <w:tcW w:w="2127" w:type="dxa"/>
          </w:tcPr>
          <w:p w14:paraId="4A89B86A" w14:textId="475D4AC1"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Водоснабдяване и канализация ООД -  Силистра</w:t>
            </w:r>
          </w:p>
        </w:tc>
        <w:tc>
          <w:tcPr>
            <w:tcW w:w="2275" w:type="dxa"/>
          </w:tcPr>
          <w:p w14:paraId="2074A3EF" w14:textId="68C19314"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640-1/</w:t>
            </w:r>
            <w:r w:rsidR="00B972CE" w:rsidRPr="00C422C8">
              <w:rPr>
                <w:rFonts w:ascii="Times New Roman" w:hAnsi="Times New Roman" w:cs="Times New Roman"/>
                <w:color w:val="000000"/>
              </w:rPr>
              <w:t xml:space="preserve"> </w:t>
            </w:r>
            <w:r w:rsidRPr="00C422C8">
              <w:rPr>
                <w:rFonts w:ascii="Times New Roman" w:hAnsi="Times New Roman" w:cs="Times New Roman"/>
                <w:color w:val="000000"/>
              </w:rPr>
              <w:t>15.05.2025</w:t>
            </w:r>
          </w:p>
        </w:tc>
        <w:tc>
          <w:tcPr>
            <w:tcW w:w="6831" w:type="dxa"/>
          </w:tcPr>
          <w:p w14:paraId="35C1D11B" w14:textId="12AA012D" w:rsidR="00B538CB" w:rsidRPr="00C422C8" w:rsidRDefault="00B538CB" w:rsidP="00B972CE">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"Водоснабдяване и канализация" ООД-Силистра Ви уведомява, че се запозна с представен Доклад за Екологична оценка (ЕО) на "Проект на Генерален план на пристанище за обществен транспорт Русе" и дава положително становище и съгласува частта му, отнасяща се до </w:t>
            </w:r>
            <w:r w:rsidR="00D32787" w:rsidRPr="00C422C8">
              <w:rPr>
                <w:rFonts w:ascii="Times New Roman" w:hAnsi="Times New Roman" w:cs="Times New Roman"/>
                <w:color w:val="000000"/>
              </w:rPr>
              <w:t>присъединяване</w:t>
            </w:r>
            <w:r w:rsidRPr="00C422C8">
              <w:rPr>
                <w:rFonts w:ascii="Times New Roman" w:hAnsi="Times New Roman" w:cs="Times New Roman"/>
                <w:color w:val="000000"/>
              </w:rPr>
              <w:t xml:space="preserve"> към ВиК мрежи, </w:t>
            </w:r>
            <w:r w:rsidR="00D32787" w:rsidRPr="00C422C8">
              <w:rPr>
                <w:rFonts w:ascii="Times New Roman" w:hAnsi="Times New Roman" w:cs="Times New Roman"/>
                <w:color w:val="000000"/>
              </w:rPr>
              <w:t>поддържани</w:t>
            </w:r>
            <w:r w:rsidRPr="00C422C8">
              <w:rPr>
                <w:rFonts w:ascii="Times New Roman" w:hAnsi="Times New Roman" w:cs="Times New Roman"/>
                <w:color w:val="000000"/>
              </w:rPr>
              <w:t xml:space="preserve"> и експлоатирани от "Водоснабдяване и канализация" ООД-Силистра. </w:t>
            </w:r>
          </w:p>
        </w:tc>
        <w:tc>
          <w:tcPr>
            <w:tcW w:w="2191" w:type="dxa"/>
          </w:tcPr>
          <w:p w14:paraId="13A1F79D" w14:textId="1046E7B9"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Становището не съдържа препоръки и бележки към ДЕО</w:t>
            </w:r>
          </w:p>
          <w:p w14:paraId="677FC502" w14:textId="77777777" w:rsidR="00B538CB" w:rsidRPr="00C422C8" w:rsidRDefault="00B538CB" w:rsidP="00B538CB">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872585" w:rsidRPr="00C422C8" w14:paraId="008A47BA"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3CD50647" w14:textId="711F09E7" w:rsidR="00872585" w:rsidRPr="00C422C8" w:rsidRDefault="00A62945" w:rsidP="00872585">
            <w:pPr>
              <w:rPr>
                <w:rFonts w:ascii="Times New Roman" w:hAnsi="Times New Roman" w:cs="Times New Roman"/>
              </w:rPr>
            </w:pPr>
            <w:r w:rsidRPr="00C422C8">
              <w:rPr>
                <w:rFonts w:ascii="Times New Roman" w:hAnsi="Times New Roman" w:cs="Times New Roman"/>
              </w:rPr>
              <w:t>5</w:t>
            </w:r>
          </w:p>
        </w:tc>
        <w:tc>
          <w:tcPr>
            <w:tcW w:w="2127" w:type="dxa"/>
          </w:tcPr>
          <w:p w14:paraId="535EB96B" w14:textId="066DFE91"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Областен управител на Област Велико Търново</w:t>
            </w:r>
          </w:p>
        </w:tc>
        <w:tc>
          <w:tcPr>
            <w:tcW w:w="2275" w:type="dxa"/>
          </w:tcPr>
          <w:p w14:paraId="73FC1FB9" w14:textId="2733E115"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ОА04-4057/19.05.2025</w:t>
            </w:r>
          </w:p>
        </w:tc>
        <w:tc>
          <w:tcPr>
            <w:tcW w:w="6831" w:type="dxa"/>
          </w:tcPr>
          <w:p w14:paraId="38FA18C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Във връзка с получено в Областна администрация Велико Търново Ваше писмо, наш вх. № ОА04- 3778/09.05.2025 г.. относно изготвен Доклад за Екологична оценка на „Проект на Генерален план на пристанище за обществен транспорт Русе”. Ви информирам, че се запознах подробно с предоставения документ.</w:t>
            </w:r>
          </w:p>
          <w:p w14:paraId="6D9656E6"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На регионално ниво Генералният план кореспондира с Интегрираната териториална стратегия за развитие на Северен централен район за периода 2021 - 2027 г. Стратегията е планов документ, определящ общата политическа, пространствена, икономическа и тематична рамка за развитие на региона.</w:t>
            </w:r>
          </w:p>
          <w:p w14:paraId="3B909B02" w14:textId="471FCFF8"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lastRenderedPageBreak/>
              <w:t>Прилагането на мерките в Генералния план на пристанище за обществен транспорт Русе ще позволи да се реализират по-мащабни и дългосрочни цели. както и да се резервират територии за изпълнение на проекти във времето с важно значение за развитието не само на пристанищните инфраструктури, но и на общините, и на регионите.</w:t>
            </w:r>
          </w:p>
          <w:p w14:paraId="23C9AD02" w14:textId="70D64AE8"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Обобщавайки анализите и оценките, направени в Доклада за екологична оценка във връзка с предвижданията на Генералния план, може да се заключи, че при прилагане на предвидените мерки за предотвратяване, намаляване и възможно най-пълно отстраняване на неблагоприятните последствия за околната среда и човешкото здраве, ще се постигне комплексен положителен ефект. Не се очаква прилагането на плана да повлияе отрицателно върху предмета и целите на опазване на ситуирани в близост защитени зони от Националната екологична мрежа ,.Натура 2000”.</w:t>
            </w:r>
          </w:p>
          <w:p w14:paraId="2A5A04F4" w14:textId="41E8D03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 xml:space="preserve">По отношение на гореизложеното, изразявам своето положително становище, като одобрявам представения доклад за Екологична оценка на „Проект на Генерален план на пристанище за обществен транспорт Русе“. </w:t>
            </w:r>
          </w:p>
        </w:tc>
        <w:tc>
          <w:tcPr>
            <w:tcW w:w="2191" w:type="dxa"/>
          </w:tcPr>
          <w:p w14:paraId="41190923"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lastRenderedPageBreak/>
              <w:t>Становището не съдържа препоръки и бележки към ДЕО</w:t>
            </w:r>
          </w:p>
          <w:p w14:paraId="5A7CCB26"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p>
        </w:tc>
      </w:tr>
      <w:tr w:rsidR="00872585" w:rsidRPr="00C422C8" w14:paraId="14C98FA0"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099209AF" w14:textId="7D39E06C" w:rsidR="00872585" w:rsidRPr="00C422C8" w:rsidRDefault="00A62945" w:rsidP="00872585">
            <w:pPr>
              <w:rPr>
                <w:rFonts w:ascii="Times New Roman" w:hAnsi="Times New Roman" w:cs="Times New Roman"/>
                <w:color w:val="FFFFFF" w:themeColor="background1"/>
              </w:rPr>
            </w:pPr>
            <w:r w:rsidRPr="00C422C8">
              <w:rPr>
                <w:rFonts w:ascii="Times New Roman" w:hAnsi="Times New Roman" w:cs="Times New Roman"/>
              </w:rPr>
              <w:t>6</w:t>
            </w:r>
          </w:p>
        </w:tc>
        <w:tc>
          <w:tcPr>
            <w:tcW w:w="2127" w:type="dxa"/>
          </w:tcPr>
          <w:p w14:paraId="2FF2E2A6" w14:textId="4869453D"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Агенция "Пътна инфраструктура" </w:t>
            </w:r>
          </w:p>
        </w:tc>
        <w:tc>
          <w:tcPr>
            <w:tcW w:w="2275" w:type="dxa"/>
          </w:tcPr>
          <w:p w14:paraId="13EDD6D8" w14:textId="5AD2EC56"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24-00-1317/ 21.05.2025</w:t>
            </w:r>
          </w:p>
        </w:tc>
        <w:tc>
          <w:tcPr>
            <w:tcW w:w="6831" w:type="dxa"/>
          </w:tcPr>
          <w:p w14:paraId="7837126A"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След преглед на ДЕО и наличната документация в АПИ-Централна администрация (ЦА) Ви уведомяваме следното:</w:t>
            </w:r>
            <w:r w:rsidRPr="00C422C8">
              <w:rPr>
                <w:rFonts w:ascii="Times New Roman" w:hAnsi="Times New Roman" w:cs="Times New Roman"/>
                <w:color w:val="000000"/>
              </w:rPr>
              <w:br/>
              <w:t xml:space="preserve">В ДЕО на "Генералния план на пристанище за обществен транспорт Русе"  са разглеждани следните пристанищни терминали: "Русе-Запад", с оператор ДП "Пристанищна инфраструктура"; "Русе-Център", с оператор „Пристанищен комплекс Русе“ ЕАД; "Русе-Изток - 2", с оператор „Пристанищен </w:t>
            </w:r>
            <w:r w:rsidRPr="00C422C8">
              <w:rPr>
                <w:rFonts w:ascii="Times New Roman" w:hAnsi="Times New Roman" w:cs="Times New Roman"/>
                <w:color w:val="000000"/>
              </w:rPr>
              <w:lastRenderedPageBreak/>
              <w:t>комплекс Русе“ ЕАД; "Русе-Изток - 1", с оператор „Пристанищен комплекс Русе“ ЕАД; "Тутракан", с оператор „Пристанищен комплекс Русе“ ЕАД; "Силистра", с оператор Държавно предприятие „Пристанищна инфраструктура“; "Силистра", с оператор „Пристанищен комплекс Русе“ ЕАД; "Сомовит", с концесионер „Октопод С“ ООД; "Никопол", с концесионер „Параходство Българско речно плаване“ АД; "Свищов", с концесионер „Драгажен флот – Истър“ АД.</w:t>
            </w:r>
            <w:r w:rsidRPr="00C422C8">
              <w:rPr>
                <w:rFonts w:ascii="Times New Roman" w:hAnsi="Times New Roman" w:cs="Times New Roman"/>
                <w:color w:val="000000"/>
              </w:rPr>
              <w:br/>
              <w:t xml:space="preserve">Пристанищните терминали попадат на територията на четири области: Силистра, Русе, Велико Търново и Плевен и съответно общини: Силистра, Тутракан, Русе, Свищов, Никопол и Гулянци. </w:t>
            </w:r>
            <w:r w:rsidRPr="00C422C8">
              <w:rPr>
                <w:rFonts w:ascii="Times New Roman" w:hAnsi="Times New Roman" w:cs="Times New Roman"/>
                <w:color w:val="000000"/>
              </w:rPr>
              <w:br/>
              <w:t>При извършена документална проверка за местоположението на пристанищните терминали и пътища от републиканската пътна мрежа (РПМ) се установи, че: "Русе-Запад", "Русе-Център", "Русе-Изток - 2", "Русе-Изток - 1", "Тутракан", фериботен терминал „Силистра“ и пристанищен терминал „Силистра“ не са в непосредствена близост до републикански пътища. Пристанищните терминали „Сомовит“, „Никопол“ и „Свищов“ граничат или са в непосредствена близост до пътищата на РПМ, съответно: път II-11  „(</w:t>
            </w:r>
            <w:proofErr w:type="spellStart"/>
            <w:r w:rsidRPr="00C422C8">
              <w:rPr>
                <w:rFonts w:ascii="Times New Roman" w:hAnsi="Times New Roman" w:cs="Times New Roman"/>
                <w:color w:val="000000"/>
              </w:rPr>
              <w:t>О.п</w:t>
            </w:r>
            <w:proofErr w:type="spellEnd"/>
            <w:r w:rsidRPr="00C422C8">
              <w:rPr>
                <w:rFonts w:ascii="Times New Roman" w:hAnsi="Times New Roman" w:cs="Times New Roman"/>
                <w:color w:val="000000"/>
              </w:rPr>
              <w:t xml:space="preserve">. Видин-Димово)-Симеоново-Ботево-Арчар-Лом- </w:t>
            </w:r>
            <w:proofErr w:type="spellStart"/>
            <w:r w:rsidRPr="00C422C8">
              <w:rPr>
                <w:rFonts w:ascii="Times New Roman" w:hAnsi="Times New Roman" w:cs="Times New Roman"/>
                <w:color w:val="000000"/>
              </w:rPr>
              <w:t>о.п</w:t>
            </w:r>
            <w:proofErr w:type="spellEnd"/>
            <w:r w:rsidRPr="00C422C8">
              <w:rPr>
                <w:rFonts w:ascii="Times New Roman" w:hAnsi="Times New Roman" w:cs="Times New Roman"/>
                <w:color w:val="000000"/>
              </w:rPr>
              <w:t xml:space="preserve">. Козлодуй-Оряхово-Гиген-Брест-Гулянци- (Дебово-Никопол), път II-34 „(Гара Бяла – </w:t>
            </w:r>
            <w:proofErr w:type="spellStart"/>
            <w:r w:rsidRPr="00C422C8">
              <w:rPr>
                <w:rFonts w:ascii="Times New Roman" w:hAnsi="Times New Roman" w:cs="Times New Roman"/>
                <w:color w:val="000000"/>
              </w:rPr>
              <w:t>о.п</w:t>
            </w:r>
            <w:proofErr w:type="spellEnd"/>
            <w:r w:rsidRPr="00C422C8">
              <w:rPr>
                <w:rFonts w:ascii="Times New Roman" w:hAnsi="Times New Roman" w:cs="Times New Roman"/>
                <w:color w:val="000000"/>
              </w:rPr>
              <w:t>. Плевен) п.к. Гривица-Мечка-Дебово-Никопол“ и път II-52 „(Русе-Бяла)-Мечка-Новград-</w:t>
            </w:r>
            <w:proofErr w:type="spellStart"/>
            <w:r w:rsidRPr="00C422C8">
              <w:rPr>
                <w:rFonts w:ascii="Times New Roman" w:hAnsi="Times New Roman" w:cs="Times New Roman"/>
                <w:color w:val="000000"/>
              </w:rPr>
              <w:t>Свишов</w:t>
            </w:r>
            <w:proofErr w:type="spellEnd"/>
            <w:r w:rsidRPr="00C422C8">
              <w:rPr>
                <w:rFonts w:ascii="Times New Roman" w:hAnsi="Times New Roman" w:cs="Times New Roman"/>
                <w:color w:val="000000"/>
              </w:rPr>
              <w:t>-Деков-Бяла вода-Никопол“.</w:t>
            </w:r>
          </w:p>
          <w:p w14:paraId="23B92820"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rPr>
              <w:t xml:space="preserve">Във връзка с провеждани консултации по „Задание за определяне обхвата и съдържанието на ЕО на проект на </w:t>
            </w:r>
            <w:r w:rsidRPr="00C422C8">
              <w:rPr>
                <w:rFonts w:ascii="Times New Roman" w:hAnsi="Times New Roman" w:cs="Times New Roman"/>
                <w:color w:val="000000"/>
              </w:rPr>
              <w:t>"Генерален план на пристанище за обществен транспорт Русе" с писмо рег.№53-00-</w:t>
            </w:r>
            <w:r w:rsidRPr="00C422C8">
              <w:rPr>
                <w:rFonts w:ascii="Times New Roman" w:hAnsi="Times New Roman" w:cs="Times New Roman"/>
                <w:color w:val="000000"/>
              </w:rPr>
              <w:lastRenderedPageBreak/>
              <w:t xml:space="preserve">15440/ 11.10.2024г. сне изразили становище, по отношение на информацията за РПМ, която да се разгледа с доклада. </w:t>
            </w:r>
          </w:p>
          <w:p w14:paraId="2A641670"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В предоставените материали – обяснителна записка на ДЕО, транспортният достъп до терминалите е описан много общо. Единствено за терминалите на територията на гр. Русе са конкретизирани с достъпа до републиканските пътища. Не е разгледано има ли необходимост от нови територии, осигуряващи транспортната свързаност между пристанищните терминали и съществуващите транспортни пътища за постигане на заявените стратегически цели.  Не е разглеждана пътната инфраструктура и по отношение на състояния, пътен достъп, трафик и т.н.</w:t>
            </w:r>
          </w:p>
          <w:p w14:paraId="1C7F2B9D" w14:textId="77777777" w:rsidR="00872585"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Доклада за ЕО е направен анализ на отделните площадки, но оценката по фактор шум е обща и не е диференцирана според спецификата на всяка една от тях. </w:t>
            </w:r>
          </w:p>
          <w:p w14:paraId="4834A2B2" w14:textId="77777777" w:rsidR="000614F1" w:rsidRDefault="000614F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2B17680" w14:textId="77777777" w:rsidR="000614F1" w:rsidRDefault="000614F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077BF44" w14:textId="77777777" w:rsidR="000614F1" w:rsidRDefault="000614F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B470D4" w14:textId="77777777" w:rsidR="000614F1" w:rsidRDefault="000614F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F91A974" w14:textId="77777777" w:rsidR="000614F1" w:rsidRPr="00C422C8" w:rsidRDefault="000614F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5CAAD94" w14:textId="77777777" w:rsidR="00872585"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074C12">
              <w:rPr>
                <w:rFonts w:ascii="Times New Roman" w:hAnsi="Times New Roman" w:cs="Times New Roman"/>
              </w:rPr>
              <w:t xml:space="preserve">От горе изложеното е видно, че в представения ДЕО на </w:t>
            </w:r>
            <w:r w:rsidRPr="00074C12">
              <w:rPr>
                <w:rFonts w:ascii="Times New Roman" w:hAnsi="Times New Roman" w:cs="Times New Roman"/>
                <w:color w:val="000000"/>
              </w:rPr>
              <w:t>"Генерален план на пристанище за обществен транспорт Русе", не е разглежданата пътната инфраструктура (състояние, пътен достъп, трафик и т.н.) като устройствена зона, осигуряваща транспортната свързаност и дейността в терминалите.</w:t>
            </w:r>
          </w:p>
          <w:p w14:paraId="08CCC7FE"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1593352F"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0BB5B930"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4853EE5E"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47871BC5"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50C09BE7"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44002611" w14:textId="77777777" w:rsidR="00074C12"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10436E2B" w14:textId="77777777" w:rsidR="00074C12" w:rsidRPr="00C422C8" w:rsidRDefault="00074C12"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p>
          <w:p w14:paraId="0645BC2A"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rPr>
              <w:t xml:space="preserve">Предвид гореизложеното Агенция „Пътна инфраструктура“ не съгласува ДЕО на </w:t>
            </w:r>
            <w:r w:rsidRPr="00C422C8">
              <w:rPr>
                <w:rFonts w:ascii="Times New Roman" w:hAnsi="Times New Roman" w:cs="Times New Roman"/>
                <w:color w:val="000000"/>
              </w:rPr>
              <w:t xml:space="preserve">"Генерален план на пристанище за обществен транспорт Русе". Необходимо е в ДЕО са се направи оценка на въздействието по фактор шум от реализацията на плана за отделните площадки, в следствие на което да се предложат конкретни смекчаващи мерки, ако такива са необходими, както и да се представи информация за пътния достъп от площадките до Републиканските пътища. </w:t>
            </w:r>
          </w:p>
          <w:p w14:paraId="2657DC76" w14:textId="31D04F0F"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След допълването на ДЕО е необходимо съшият да бъде представена в АПИ-ЦА и съответните ОПУ за становище, съгласно чл. 20 от Наредбата за условията и реда за извършване на екологична оценка на планове и програми, </w:t>
            </w:r>
            <w:proofErr w:type="spellStart"/>
            <w:r w:rsidRPr="00C422C8">
              <w:rPr>
                <w:rFonts w:ascii="Times New Roman" w:hAnsi="Times New Roman" w:cs="Times New Roman"/>
              </w:rPr>
              <w:t>окомлектован</w:t>
            </w:r>
            <w:proofErr w:type="spellEnd"/>
            <w:r w:rsidRPr="00C422C8">
              <w:rPr>
                <w:rFonts w:ascii="Times New Roman" w:hAnsi="Times New Roman" w:cs="Times New Roman"/>
              </w:rPr>
              <w:t xml:space="preserve"> с </w:t>
            </w:r>
            <w:r w:rsidRPr="00C422C8">
              <w:rPr>
                <w:rFonts w:ascii="Times New Roman" w:hAnsi="Times New Roman" w:cs="Times New Roman"/>
                <w:color w:val="000000"/>
              </w:rPr>
              <w:t>"Генерален план на пристанище за обществен транспорт Русе".</w:t>
            </w:r>
          </w:p>
        </w:tc>
        <w:tc>
          <w:tcPr>
            <w:tcW w:w="2191" w:type="dxa"/>
          </w:tcPr>
          <w:p w14:paraId="04D79D42"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91354CA"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3BB1A29"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9190B42"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1FBE388"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594E016"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1FFA037"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B2BC674"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7253E30"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49E29A6"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EC9C8C"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26E6715"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5BE5587"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4E0684B"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14DA87A"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C9F3CD2"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6FAD414"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0CA977C"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101FCA6"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8A1784E"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EA789B0"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53612D"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44FB47"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132BCDF"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59B6B80"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285342D"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1B194B1"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4F9B74"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AF0A13"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9BAF2F7"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D0FC9F"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5550FD"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EE27887"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C8729E9"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988651F"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5DC655E"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58DA915" w14:textId="2D5B141E" w:rsidR="00481582" w:rsidRDefault="000614F1"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Виж обосновката по-долу</w:t>
            </w:r>
          </w:p>
          <w:p w14:paraId="2CEEB16B"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8ECDCF8"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B49CB7C"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6D60CD"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AF82B2B"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CEEC829"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9B00571"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132A554"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1112C6D" w14:textId="77777777" w:rsidR="00481582" w:rsidRDefault="0048158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 Приложение 7 към ДЕО е направен детайлен анализ на отделните площадки по отношение фактор „шум“.</w:t>
            </w:r>
          </w:p>
          <w:p w14:paraId="13B152FE" w14:textId="6E529E1E" w:rsidR="00074C12" w:rsidRPr="00C422C8" w:rsidRDefault="00074C1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Информацията е допълнена в Генералния план, в т. 1.1.3 на ДЕО, като в ДЕО е заложена допълнителна </w:t>
            </w:r>
            <w:r>
              <w:rPr>
                <w:rFonts w:ascii="Times New Roman" w:hAnsi="Times New Roman" w:cs="Times New Roman"/>
              </w:rPr>
              <w:lastRenderedPageBreak/>
              <w:t xml:space="preserve">обща мярка за съобразяване на коментара при бъдещи инвестиционни проекти. </w:t>
            </w:r>
          </w:p>
        </w:tc>
      </w:tr>
      <w:tr w:rsidR="00872585" w:rsidRPr="00C422C8" w14:paraId="7A54028F"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4A0DF5A3" w14:textId="7885165B" w:rsidR="00872585" w:rsidRPr="00C422C8" w:rsidRDefault="00A62945" w:rsidP="00872585">
            <w:pPr>
              <w:rPr>
                <w:rFonts w:ascii="Times New Roman" w:hAnsi="Times New Roman" w:cs="Times New Roman"/>
                <w:color w:val="FFFFFF" w:themeColor="background1"/>
              </w:rPr>
            </w:pPr>
            <w:r w:rsidRPr="00C422C8">
              <w:rPr>
                <w:rFonts w:ascii="Times New Roman" w:hAnsi="Times New Roman" w:cs="Times New Roman"/>
              </w:rPr>
              <w:lastRenderedPageBreak/>
              <w:t>7</w:t>
            </w:r>
          </w:p>
        </w:tc>
        <w:tc>
          <w:tcPr>
            <w:tcW w:w="2127" w:type="dxa"/>
          </w:tcPr>
          <w:p w14:paraId="18C90EE5" w14:textId="428A2DDB"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ДП "Национална компания железопътна инфраструктура"</w:t>
            </w:r>
          </w:p>
        </w:tc>
        <w:tc>
          <w:tcPr>
            <w:tcW w:w="2275" w:type="dxa"/>
          </w:tcPr>
          <w:p w14:paraId="744D242E" w14:textId="17DB803A"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ЖИ-16924/ 22.05.2025</w:t>
            </w:r>
          </w:p>
        </w:tc>
        <w:tc>
          <w:tcPr>
            <w:tcW w:w="6831" w:type="dxa"/>
          </w:tcPr>
          <w:p w14:paraId="4E71F35E" w14:textId="2137B891"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Във връзка с Ваше писмо с изх.№04-14-2-42/08.05.2025г. за провеждане на консултации по доклад за Екологична оценка на „Проект на Генерален план на пристанище за обществен транспорт Русе", Ви уведомяваме, че ДП НКЖИ няма забележки и предложения по така представения доклад. С проектната разработка не се засягат проекти с европейско финансиране, както и имоти, предоставени за управление на ДП НКЖИ. </w:t>
            </w:r>
          </w:p>
        </w:tc>
        <w:tc>
          <w:tcPr>
            <w:tcW w:w="2191" w:type="dxa"/>
          </w:tcPr>
          <w:p w14:paraId="04924454" w14:textId="189E8819" w:rsidR="00872585" w:rsidRPr="00F444C3"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Становището не съдържа препоръки и бележки към ДЕО</w:t>
            </w:r>
          </w:p>
        </w:tc>
      </w:tr>
      <w:tr w:rsidR="00872585" w:rsidRPr="00C422C8" w14:paraId="26C6A29E"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3DFFD280" w14:textId="34677104" w:rsidR="00872585" w:rsidRPr="00C422C8" w:rsidRDefault="00A62945" w:rsidP="00872585">
            <w:pPr>
              <w:rPr>
                <w:rFonts w:ascii="Times New Roman" w:hAnsi="Times New Roman" w:cs="Times New Roman"/>
                <w:color w:val="FFFFFF" w:themeColor="background1"/>
              </w:rPr>
            </w:pPr>
            <w:r w:rsidRPr="00C422C8">
              <w:rPr>
                <w:rFonts w:ascii="Times New Roman" w:hAnsi="Times New Roman" w:cs="Times New Roman"/>
              </w:rPr>
              <w:lastRenderedPageBreak/>
              <w:t>8</w:t>
            </w:r>
          </w:p>
        </w:tc>
        <w:tc>
          <w:tcPr>
            <w:tcW w:w="2127" w:type="dxa"/>
          </w:tcPr>
          <w:p w14:paraId="0A9799B7" w14:textId="16430C85"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Регионална инспекция по околната среда и водите - Русе</w:t>
            </w:r>
          </w:p>
        </w:tc>
        <w:tc>
          <w:tcPr>
            <w:tcW w:w="2275" w:type="dxa"/>
          </w:tcPr>
          <w:p w14:paraId="74F0A585" w14:textId="5D95A85D"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И-2554/22.05.2025</w:t>
            </w:r>
          </w:p>
        </w:tc>
        <w:tc>
          <w:tcPr>
            <w:tcW w:w="6831" w:type="dxa"/>
          </w:tcPr>
          <w:p w14:paraId="04AD5A91"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Докладът за ЕО е изготвен в съответствие с изискванията за структура и съдържание посочени в чл. 86, ал. 2 на Закона за опазване на околната среда /ЗООС/.</w:t>
            </w:r>
          </w:p>
          <w:p w14:paraId="7D036A25"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Целите на Генералния план са сведени до:</w:t>
            </w:r>
          </w:p>
          <w:p w14:paraId="0AD6F7A3" w14:textId="6217BFE6"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-Възможности за развитие на съществуващите пристанищни дейности и услуги с оптимизиране на зоните, в които се извършват;</w:t>
            </w:r>
          </w:p>
          <w:p w14:paraId="41297296"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-Подобряване на транспортните, технологичните, инфраструктурните проекти, свързани с организацията на пристанищните дейности;</w:t>
            </w:r>
          </w:p>
          <w:p w14:paraId="1655368A"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-Вземане на обосновани решения за навигационното осигуряване на пристанищната акватория – граници и проектни дълбочини;</w:t>
            </w:r>
          </w:p>
          <w:p w14:paraId="17334412"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Намиране на обобщени параметри за бъдещи инвестиционни инициативи за изграждането на нови открити и закрити складове, нови складове за специфични товари, нови паркинги, зони за изкачване, административни сгради с офиси;</w:t>
            </w:r>
          </w:p>
          <w:p w14:paraId="7CC29BD6"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Отразяване и създаване на база за реализация на текущи инициативи и планове, като монтаж и въвеждане в експлоатация на пристанищни приемни съоръжения за отпадъци.</w:t>
            </w:r>
          </w:p>
          <w:p w14:paraId="09EEC355" w14:textId="7E1D57B2"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Инфраструктурата на пристанище за обществен транспорт Русе, включва: Пристанищен терминал Русе – Запад</w:t>
            </w:r>
          </w:p>
          <w:p w14:paraId="4718FA3E" w14:textId="58C80ECD"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Пристанищен терминал Русе – Център, с оператор „Пристанищен комплекс Русе“ ЕАД; Пристанищен терминал Русе-Изток – 2; </w:t>
            </w:r>
          </w:p>
          <w:p w14:paraId="26B5A2A7"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Пристанищен терминал Русе-Изток – 1; Пристанищен терминал Тутракан; Фериботен терминал Силистра; Пристанищен терминал Силистра; Пристанищен терминал Сомовит; Пристанищен терминал Никопол;</w:t>
            </w:r>
            <w:r w:rsidRPr="00C422C8">
              <w:rPr>
                <w:rFonts w:ascii="Times New Roman" w:hAnsi="Times New Roman" w:cs="Times New Roman"/>
              </w:rPr>
              <w:tab/>
              <w:t>Пристанищен терминал Свищов.</w:t>
            </w:r>
          </w:p>
          <w:p w14:paraId="55A7A1BE"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разработения доклад, в  табличен вид е представена подробна информация на разгледаните съществуващи екологични проблеми в районите, засягащи пристанищните терминали, обект на оценка, по компоненти и фактори на околната среда, като е направена прогноза за евентуалното им развитие без прилагането на плана. </w:t>
            </w:r>
          </w:p>
          <w:p w14:paraId="6341DD58"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Направено е сравнение между дефинираните алтернативи: „Нулева алтернатива“ и „Развитие при условия, че се прилагат мерките и дейностите, предложения в Генералния план на пристанище за обществен транспорт Русе“.</w:t>
            </w:r>
          </w:p>
          <w:p w14:paraId="54CAA47B" w14:textId="247C70EE"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При изработването на ЕО, адекватно са анализирани и оценени въздействията по компоненти и фактори на околната среда. При осъществяването на проекта се очаква комплексно положително въздействие върху околната среда и човешкото здраве при спазване на мерките, предложени в доклада за ЕО, за предотвратяване, намаляване и възможно най-пълно компенсиране на неблагоприятните последствия от осъществяването на Проекта на генералния план. Същите са разработени, като:</w:t>
            </w:r>
          </w:p>
          <w:p w14:paraId="1BBA0256" w14:textId="77777777" w:rsidR="00872585" w:rsidRPr="00C422C8" w:rsidRDefault="00872585" w:rsidP="00872585">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Мерки предвидени за отразяване в окончателния вариант на плана;</w:t>
            </w:r>
          </w:p>
          <w:p w14:paraId="7834A8CB" w14:textId="77777777" w:rsidR="00872585" w:rsidRPr="00C422C8" w:rsidRDefault="00872585" w:rsidP="00872585">
            <w:pPr>
              <w:pStyle w:val="ListParagraph"/>
              <w:numPr>
                <w:ilvl w:val="0"/>
                <w:numId w:val="1"/>
              </w:num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Мерки по време на прилагане на плана.</w:t>
            </w:r>
          </w:p>
          <w:p w14:paraId="01DE7E7E"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 xml:space="preserve">Като приложение към доклада за ЕО е представена справка за проведените консултации по заданието за обхват и съдържание на доклада за ЕО.  Справката включва и начин на отразяване/мотиви за приетите и неприетите забележки. </w:t>
            </w:r>
          </w:p>
          <w:p w14:paraId="4F0AC751" w14:textId="5F615795"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Във връзка с всичко гореизложено, от страна на РИОСВ-Русе няма предложения и допълнителни изисквания към съдържанието на доклада за ЕО. </w:t>
            </w:r>
          </w:p>
        </w:tc>
        <w:tc>
          <w:tcPr>
            <w:tcW w:w="2191" w:type="dxa"/>
          </w:tcPr>
          <w:p w14:paraId="6B8D4CC2" w14:textId="58DB14C2"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lastRenderedPageBreak/>
              <w:t>Становището не съдържа препоръки и бележки към ДЕО</w:t>
            </w:r>
          </w:p>
        </w:tc>
      </w:tr>
      <w:tr w:rsidR="00872585" w:rsidRPr="00C422C8" w14:paraId="08898764"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6F853447" w14:textId="3E4D4A77" w:rsidR="00872585" w:rsidRPr="00C422C8" w:rsidRDefault="00A62945" w:rsidP="00872585">
            <w:pPr>
              <w:rPr>
                <w:rFonts w:ascii="Times New Roman" w:hAnsi="Times New Roman" w:cs="Times New Roman"/>
                <w:color w:val="FFFFFF" w:themeColor="background1"/>
              </w:rPr>
            </w:pPr>
            <w:r w:rsidRPr="00C422C8">
              <w:rPr>
                <w:rFonts w:ascii="Times New Roman" w:hAnsi="Times New Roman" w:cs="Times New Roman"/>
              </w:rPr>
              <w:lastRenderedPageBreak/>
              <w:t>9</w:t>
            </w:r>
          </w:p>
        </w:tc>
        <w:tc>
          <w:tcPr>
            <w:tcW w:w="2127" w:type="dxa"/>
          </w:tcPr>
          <w:p w14:paraId="5F4B2D61" w14:textId="1A3B49A6"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Басейнова дирекция "Дунавски район"</w:t>
            </w:r>
          </w:p>
        </w:tc>
        <w:tc>
          <w:tcPr>
            <w:tcW w:w="2275" w:type="dxa"/>
          </w:tcPr>
          <w:p w14:paraId="6218CD89" w14:textId="5168DDB0"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ПУ-01-16(11)/27.05.2025</w:t>
            </w:r>
          </w:p>
        </w:tc>
        <w:tc>
          <w:tcPr>
            <w:tcW w:w="6831" w:type="dxa"/>
          </w:tcPr>
          <w:p w14:paraId="02F1713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След преглед на представения доклад се констатира, че при разработването е използвана актуална информация съгласно действащи ПУРБ и ПУРН за периода 2022-2027г. в Дунавски район за басейново управление. </w:t>
            </w:r>
          </w:p>
          <w:p w14:paraId="7DCFC18C"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Дадените препоръки на БДДР, при провеждане на консултации при изготвяне на задание за определяне обхвата и съдържанието на доклада, са приети и отразени в ДЕО (писмо с наш изх.№ПУ-01-16(9)/10.10.2024г.).</w:t>
            </w:r>
          </w:p>
          <w:p w14:paraId="6C91DECD" w14:textId="1BE0EDD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Предвид гореизложеното БДДР оценява положително представения ДЕО на </w:t>
            </w:r>
            <w:r w:rsidRPr="00C422C8">
              <w:rPr>
                <w:rFonts w:ascii="Times New Roman" w:hAnsi="Times New Roman" w:cs="Times New Roman"/>
                <w:color w:val="000000"/>
              </w:rPr>
              <w:t xml:space="preserve">„Проект на Генерален план на пристанище за обществен транспорт Русе" и приложенията към него. </w:t>
            </w:r>
          </w:p>
        </w:tc>
        <w:tc>
          <w:tcPr>
            <w:tcW w:w="2191" w:type="dxa"/>
          </w:tcPr>
          <w:p w14:paraId="01651A9A" w14:textId="448AB12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Становището не съдържа препоръки и бележки към ДЕО</w:t>
            </w:r>
          </w:p>
          <w:p w14:paraId="331D5D1A"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72585" w:rsidRPr="00C422C8" w14:paraId="2D7EF428"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24CA77DB" w14:textId="32C279BF" w:rsidR="00872585" w:rsidRPr="00C422C8" w:rsidRDefault="00A62945" w:rsidP="00872585">
            <w:pPr>
              <w:rPr>
                <w:rFonts w:ascii="Times New Roman" w:hAnsi="Times New Roman" w:cs="Times New Roman"/>
              </w:rPr>
            </w:pPr>
            <w:r w:rsidRPr="00C422C8">
              <w:rPr>
                <w:rFonts w:ascii="Times New Roman" w:hAnsi="Times New Roman" w:cs="Times New Roman"/>
              </w:rPr>
              <w:t>10</w:t>
            </w:r>
          </w:p>
        </w:tc>
        <w:tc>
          <w:tcPr>
            <w:tcW w:w="2127" w:type="dxa"/>
          </w:tcPr>
          <w:p w14:paraId="35F7F60E" w14:textId="49AD4B54"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Министерство на регионалното развитие и благоустройството</w:t>
            </w:r>
          </w:p>
        </w:tc>
        <w:tc>
          <w:tcPr>
            <w:tcW w:w="2275" w:type="dxa"/>
          </w:tcPr>
          <w:p w14:paraId="04A74983" w14:textId="1A8CB24A"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Cs/>
              </w:rPr>
            </w:pPr>
            <w:r w:rsidRPr="00C422C8">
              <w:rPr>
                <w:rFonts w:ascii="Times New Roman" w:hAnsi="Times New Roman" w:cs="Times New Roman"/>
                <w:iCs/>
              </w:rPr>
              <w:t>№ 90-05-384(9)/27.05.2025г.</w:t>
            </w:r>
          </w:p>
        </w:tc>
        <w:tc>
          <w:tcPr>
            <w:tcW w:w="6831" w:type="dxa"/>
          </w:tcPr>
          <w:p w14:paraId="34B336AF" w14:textId="77777777" w:rsidR="00872585" w:rsidRPr="00C422C8" w:rsidRDefault="00872585" w:rsidP="00872585">
            <w:pPr>
              <w:tabs>
                <w:tab w:val="left" w:pos="1985"/>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Министерството на регионалното развитие и благоустройството (МРРБ) е постъпило писмо вх. № 90-05-384(8)/22.05.2025 г. от „Геозащита Плевен“ ЕООД, с което е предоставено писмо изх. № 04-14-2-51/08.05.2025 г. на Държавно предприятие (ДП) „Пристанищна инфраструктура“. В писмото се иска изразяване на становище от геозащитното дружество по изготвен и публикуван за провеждане на обществени консултации (на следния линк: </w:t>
            </w:r>
            <w:hyperlink r:id="rId5" w:history="1">
              <w:r w:rsidRPr="00C422C8">
                <w:rPr>
                  <w:rStyle w:val="Hyperlink"/>
                  <w:rFonts w:ascii="Times New Roman" w:hAnsi="Times New Roman" w:cs="Times New Roman"/>
                </w:rPr>
                <w:t>http://bgports.bg/bg/page/121</w:t>
              </w:r>
            </w:hyperlink>
            <w:r w:rsidRPr="00C422C8">
              <w:rPr>
                <w:rFonts w:ascii="Times New Roman" w:hAnsi="Times New Roman" w:cs="Times New Roman"/>
              </w:rPr>
              <w:t xml:space="preserve">) </w:t>
            </w:r>
            <w:r w:rsidRPr="00C422C8">
              <w:rPr>
                <w:rFonts w:ascii="Times New Roman" w:hAnsi="Times New Roman" w:cs="Times New Roman"/>
              </w:rPr>
              <w:lastRenderedPageBreak/>
              <w:t>Доклад за Екологична оценка на „Проект за Генерален план на пристанище за обществен транспорт Русе“.</w:t>
            </w:r>
          </w:p>
          <w:p w14:paraId="20BBD293" w14:textId="755C8C93" w:rsidR="00872585" w:rsidRPr="00C422C8" w:rsidRDefault="00872585" w:rsidP="00074C12">
            <w:pPr>
              <w:tabs>
                <w:tab w:val="left" w:pos="709"/>
                <w:tab w:val="left" w:pos="127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Исканото от Вас становище е във връзка с инвестиционно намерение за изработване на проект за Генерален план за обществен транспорт Русе, поради което разходите за изразяване на становище от „Геозащита Плевен“ ЕООД следва да се поемат от ДП „Пристанищна инфраструктура“, предвид обстоятелството, че същите са извън предмета на Договор № РД-02-29-7/01.02.2023 г. и Допълнително споразумение към него № РД-02-29-7(1)/04.08.2023 г. между МРРБ и „Геозащита Плевен“ ЕООД.</w:t>
            </w:r>
          </w:p>
        </w:tc>
        <w:tc>
          <w:tcPr>
            <w:tcW w:w="2191" w:type="dxa"/>
          </w:tcPr>
          <w:p w14:paraId="608A1CC7" w14:textId="153B7683" w:rsidR="00872585" w:rsidRPr="00C422C8" w:rsidRDefault="00074C12"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lastRenderedPageBreak/>
              <w:t>Становището не съдържа препоръки и бележки към ДЕО</w:t>
            </w:r>
          </w:p>
        </w:tc>
      </w:tr>
      <w:tr w:rsidR="00872585" w:rsidRPr="00C422C8" w14:paraId="0934EE53"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64D12C4A" w14:textId="56957391" w:rsidR="00872585" w:rsidRPr="00C422C8" w:rsidRDefault="00A62945" w:rsidP="00872585">
            <w:pPr>
              <w:rPr>
                <w:rFonts w:ascii="Times New Roman" w:hAnsi="Times New Roman" w:cs="Times New Roman"/>
              </w:rPr>
            </w:pPr>
            <w:r w:rsidRPr="00C422C8">
              <w:rPr>
                <w:rFonts w:ascii="Times New Roman" w:hAnsi="Times New Roman" w:cs="Times New Roman"/>
              </w:rPr>
              <w:t>11</w:t>
            </w:r>
          </w:p>
        </w:tc>
        <w:tc>
          <w:tcPr>
            <w:tcW w:w="2127" w:type="dxa"/>
          </w:tcPr>
          <w:p w14:paraId="7E93C103" w14:textId="5E91A3F4"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Община Русе</w:t>
            </w:r>
          </w:p>
        </w:tc>
        <w:tc>
          <w:tcPr>
            <w:tcW w:w="2275" w:type="dxa"/>
          </w:tcPr>
          <w:p w14:paraId="05609252" w14:textId="157C0D2F"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90-63-1#1/29.05.2025г.</w:t>
            </w:r>
          </w:p>
        </w:tc>
        <w:tc>
          <w:tcPr>
            <w:tcW w:w="6831" w:type="dxa"/>
          </w:tcPr>
          <w:p w14:paraId="7D0E8801" w14:textId="77777777" w:rsidR="00872585" w:rsidRPr="00C422C8" w:rsidRDefault="00872585" w:rsidP="00872585">
            <w:pPr>
              <w:pStyle w:val="20"/>
              <w:shd w:val="clear" w:color="auto" w:fill="auto"/>
              <w:ind w:firstLine="0"/>
              <w:cnfStyle w:val="000000100000" w:firstRow="0" w:lastRow="0" w:firstColumn="0" w:lastColumn="0" w:oddVBand="0" w:evenVBand="0" w:oddHBand="1" w:evenHBand="0" w:firstRowFirstColumn="0" w:firstRowLastColumn="0" w:lastRowFirstColumn="0" w:lastRowLastColumn="0"/>
            </w:pPr>
            <w:r w:rsidRPr="00C422C8">
              <w:t>В отговор на Ваше писмо с изх. №04-14-2-36/08.05.2025 г., относно провеждане на консултации по изготвения Доклад за Екологична оценка (ДЕО) на „Проект на Генерален план (ГП) на пристанище за обществен транспорт Русе. Ви информирам за следното становище:</w:t>
            </w:r>
          </w:p>
          <w:p w14:paraId="31848400" w14:textId="77777777" w:rsidR="00872585" w:rsidRPr="00C422C8" w:rsidRDefault="00872585" w:rsidP="00872585">
            <w:pPr>
              <w:pStyle w:val="20"/>
              <w:shd w:val="clear" w:color="auto" w:fill="auto"/>
              <w:ind w:firstLine="0"/>
              <w:cnfStyle w:val="000000100000" w:firstRow="0" w:lastRow="0" w:firstColumn="0" w:lastColumn="0" w:oddVBand="0" w:evenVBand="0" w:oddHBand="1" w:evenHBand="0" w:firstRowFirstColumn="0" w:firstRowLastColumn="0" w:lastRowFirstColumn="0" w:lastRowLastColumn="0"/>
            </w:pPr>
            <w:r w:rsidRPr="00C422C8">
              <w:t xml:space="preserve">Проектът на Генерален план е разработен в съответствие с изискванията на действащите нормативни актове в Република България, включително изискванията на Закона за морските пространства, вътрешните водни пътища, пристанищата на Република България и Наредбата за ОС. При разработването на проекта на генерален план показателите (параметрите) на застрояване са съобразени с Наредба №7 от 2003 г. за правила и нормативи за устройство на отделните видове територии и устройствени зони и предвидените в одобрените и влезли в сила </w:t>
            </w:r>
            <w:r w:rsidRPr="00C422C8">
              <w:lastRenderedPageBreak/>
              <w:t>устройствени планове от по - горна степен. За „Проект на Генерален план на пристанище за обществен транспорт Русе“, има издадено Решение №ЕО-1/2024 г. за преценяване на необходимостта от ЕО от МОСВ. с което е поставено да се извърши екологична оценка. С Решение №ЕО-1/2024 г., компетентният орган е преценил, че „Проект на Генерален план на пристанище за обществен транспорт Русе“, няма вероятност да окаже значително отрицателно въздействие върху природни местообитания. популации и местообитания на видове, предмет на опазване в защитените зони от мрежата Натура 2000.</w:t>
            </w:r>
          </w:p>
          <w:p w14:paraId="43C8D4BC" w14:textId="77777777" w:rsidR="00872585" w:rsidRPr="00C422C8" w:rsidRDefault="00872585" w:rsidP="00872585">
            <w:pPr>
              <w:pStyle w:val="20"/>
              <w:shd w:val="clear" w:color="auto" w:fill="auto"/>
              <w:ind w:firstLine="0"/>
              <w:cnfStyle w:val="000000100000" w:firstRow="0" w:lastRow="0" w:firstColumn="0" w:lastColumn="0" w:oddVBand="0" w:evenVBand="0" w:oddHBand="1" w:evenHBand="0" w:firstRowFirstColumn="0" w:firstRowLastColumn="0" w:lastRowFirstColumn="0" w:lastRowLastColumn="0"/>
            </w:pPr>
            <w:r w:rsidRPr="00C422C8">
              <w:t>Направена е схема за провеждане на консултации с обществеността, заинтересованите органи и трети лица. които има вероятност да бъдат засегнати от „Проект на Генерален план на пристанище за обществен транспорт Русе“, също така е направен подробен Доклад с всички необходими изисквания.</w:t>
            </w:r>
          </w:p>
          <w:p w14:paraId="64D9FB93" w14:textId="0F05E8EA"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 оглед предоставената документация за реализиране на „Проект на Генерален план на пристанище за обществен транспорт Русе“, Община Русе дава положително становище, тъй като са спазени всички изисквания и реда на нормативната уредба.</w:t>
            </w:r>
          </w:p>
        </w:tc>
        <w:tc>
          <w:tcPr>
            <w:tcW w:w="2191" w:type="dxa"/>
          </w:tcPr>
          <w:p w14:paraId="793521D9" w14:textId="29AF5AE8"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lastRenderedPageBreak/>
              <w:t>Становището не съдържа препоръки и бележки към ДЕО</w:t>
            </w:r>
          </w:p>
          <w:p w14:paraId="1995218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72585" w:rsidRPr="00C422C8" w14:paraId="43BF5F11"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6D3D43D4" w14:textId="3AE03AD8" w:rsidR="00872585" w:rsidRPr="00C422C8" w:rsidRDefault="00A62945" w:rsidP="00872585">
            <w:pPr>
              <w:rPr>
                <w:rFonts w:ascii="Times New Roman" w:hAnsi="Times New Roman" w:cs="Times New Roman"/>
              </w:rPr>
            </w:pPr>
            <w:r w:rsidRPr="00C422C8">
              <w:rPr>
                <w:rFonts w:ascii="Times New Roman" w:hAnsi="Times New Roman" w:cs="Times New Roman"/>
              </w:rPr>
              <w:t>12</w:t>
            </w:r>
          </w:p>
        </w:tc>
        <w:tc>
          <w:tcPr>
            <w:tcW w:w="2127" w:type="dxa"/>
          </w:tcPr>
          <w:p w14:paraId="2174FA3E" w14:textId="5E913AB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Регионална инспекция по околната среда и водите - Плевен</w:t>
            </w:r>
          </w:p>
        </w:tc>
        <w:tc>
          <w:tcPr>
            <w:tcW w:w="2275" w:type="dxa"/>
          </w:tcPr>
          <w:p w14:paraId="1FB0D732" w14:textId="5999E9B9"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2579(1)/ 30.05.2025г.</w:t>
            </w:r>
          </w:p>
        </w:tc>
        <w:tc>
          <w:tcPr>
            <w:tcW w:w="6831" w:type="dxa"/>
          </w:tcPr>
          <w:p w14:paraId="7F8514D9" w14:textId="77777777" w:rsidR="00872585" w:rsidRPr="00C422C8" w:rsidRDefault="00872585" w:rsidP="00872585">
            <w:pPr>
              <w:pStyle w:val="20"/>
              <w:shd w:val="clear" w:color="auto" w:fill="auto"/>
              <w:ind w:firstLine="0"/>
              <w:cnfStyle w:val="000000000000" w:firstRow="0" w:lastRow="0" w:firstColumn="0" w:lastColumn="0" w:oddVBand="0" w:evenVBand="0" w:oddHBand="0" w:evenHBand="0" w:firstRowFirstColumn="0" w:firstRowLastColumn="0" w:lastRowFirstColumn="0" w:lastRowLastColumn="0"/>
            </w:pPr>
            <w:r w:rsidRPr="00C422C8">
              <w:t>Представеният Доклад за ЕО на Проекта на Генерален план на пристанище за обществен транспорт Русе, по структура и съдържание съответства на изискванията на чл. 17, ал. 1 от Наредбата за условията и реда за извършване на ЕО.</w:t>
            </w:r>
          </w:p>
          <w:p w14:paraId="2F7DCD4E" w14:textId="77777777" w:rsidR="00872585" w:rsidRPr="00C422C8" w:rsidRDefault="00872585" w:rsidP="00872585">
            <w:pPr>
              <w:pStyle w:val="60"/>
              <w:numPr>
                <w:ilvl w:val="0"/>
                <w:numId w:val="2"/>
              </w:numPr>
              <w:shd w:val="clear" w:color="auto" w:fill="auto"/>
              <w:tabs>
                <w:tab w:val="left" w:pos="475"/>
              </w:tabs>
              <w:spacing w:after="0" w:line="27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“Атмосферен въздух” и “Вредни физични фактори”:</w:t>
            </w:r>
          </w:p>
          <w:p w14:paraId="083A0893" w14:textId="77777777" w:rsidR="00872585" w:rsidRPr="00C422C8" w:rsidRDefault="00872585" w:rsidP="00872585">
            <w:pPr>
              <w:pStyle w:val="20"/>
              <w:shd w:val="clear" w:color="auto" w:fill="auto"/>
              <w:tabs>
                <w:tab w:val="left" w:pos="475"/>
              </w:tabs>
              <w:spacing w:line="270" w:lineRule="exact"/>
              <w:ind w:firstLine="50"/>
              <w:cnfStyle w:val="000000000000" w:firstRow="0" w:lastRow="0" w:firstColumn="0" w:lastColumn="0" w:oddVBand="0" w:evenVBand="0" w:oddHBand="0" w:evenHBand="0" w:firstRowFirstColumn="0" w:firstRowLastColumn="0" w:lastRowFirstColumn="0" w:lastRowLastColumn="0"/>
            </w:pPr>
            <w:r w:rsidRPr="00C422C8">
              <w:lastRenderedPageBreak/>
              <w:t>Представеният доклад за ЕО по структура и съдържание съответства на изискванията на чл. 17, ал. 1 от Наредбата за условията и реда за извършване на ЕО.</w:t>
            </w:r>
          </w:p>
          <w:p w14:paraId="35679DB6" w14:textId="77777777" w:rsidR="00872585" w:rsidRPr="00C422C8" w:rsidRDefault="00872585" w:rsidP="00872585">
            <w:pPr>
              <w:pStyle w:val="60"/>
              <w:numPr>
                <w:ilvl w:val="0"/>
                <w:numId w:val="2"/>
              </w:numPr>
              <w:shd w:val="clear" w:color="auto" w:fill="auto"/>
              <w:tabs>
                <w:tab w:val="left" w:pos="475"/>
              </w:tabs>
              <w:spacing w:after="0" w:line="22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„Отпадъци“:</w:t>
            </w:r>
          </w:p>
          <w:p w14:paraId="631A0C55" w14:textId="77777777" w:rsidR="00872585" w:rsidRPr="00C422C8" w:rsidRDefault="00872585" w:rsidP="00872585">
            <w:pPr>
              <w:pStyle w:val="20"/>
              <w:shd w:val="clear" w:color="auto" w:fill="auto"/>
              <w:tabs>
                <w:tab w:val="left" w:pos="475"/>
              </w:tabs>
              <w:spacing w:line="220" w:lineRule="exact"/>
              <w:ind w:firstLine="50"/>
              <w:cnfStyle w:val="000000000000" w:firstRow="0" w:lastRow="0" w:firstColumn="0" w:lastColumn="0" w:oddVBand="0" w:evenVBand="0" w:oddHBand="0" w:evenHBand="0" w:firstRowFirstColumn="0" w:firstRowLastColumn="0" w:lastRowFirstColumn="0" w:lastRowLastColumn="0"/>
            </w:pPr>
            <w:r w:rsidRPr="00C422C8">
              <w:t>Приемаме представения Доклад за ЕО по компонент отпадъци без забележки.</w:t>
            </w:r>
          </w:p>
          <w:p w14:paraId="79580213" w14:textId="77777777" w:rsidR="00872585" w:rsidRPr="00C422C8" w:rsidRDefault="00872585" w:rsidP="00872585">
            <w:pPr>
              <w:pStyle w:val="60"/>
              <w:numPr>
                <w:ilvl w:val="0"/>
                <w:numId w:val="2"/>
              </w:numPr>
              <w:shd w:val="clear" w:color="auto" w:fill="auto"/>
              <w:tabs>
                <w:tab w:val="left" w:pos="475"/>
              </w:tabs>
              <w:spacing w:after="0" w:line="22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„Почви“:</w:t>
            </w:r>
          </w:p>
          <w:p w14:paraId="40549401" w14:textId="77777777" w:rsidR="00872585" w:rsidRPr="00C422C8" w:rsidRDefault="00872585" w:rsidP="00872585">
            <w:pPr>
              <w:pStyle w:val="20"/>
              <w:shd w:val="clear" w:color="auto" w:fill="auto"/>
              <w:tabs>
                <w:tab w:val="left" w:pos="475"/>
              </w:tabs>
              <w:spacing w:line="220" w:lineRule="exact"/>
              <w:ind w:firstLine="50"/>
              <w:cnfStyle w:val="000000000000" w:firstRow="0" w:lastRow="0" w:firstColumn="0" w:lastColumn="0" w:oddVBand="0" w:evenVBand="0" w:oddHBand="0" w:evenHBand="0" w:firstRowFirstColumn="0" w:firstRowLastColumn="0" w:lastRowFirstColumn="0" w:lastRowLastColumn="0"/>
            </w:pPr>
            <w:r w:rsidRPr="00C422C8">
              <w:t>Приемаме представения Доклад за ЕО по компонент почви без забележки.</w:t>
            </w:r>
          </w:p>
          <w:p w14:paraId="07BEC302" w14:textId="77777777" w:rsidR="00872585" w:rsidRPr="00C422C8" w:rsidRDefault="00872585" w:rsidP="00872585">
            <w:pPr>
              <w:pStyle w:val="60"/>
              <w:numPr>
                <w:ilvl w:val="0"/>
                <w:numId w:val="2"/>
              </w:numPr>
              <w:shd w:val="clear" w:color="auto" w:fill="auto"/>
              <w:tabs>
                <w:tab w:val="left" w:pos="475"/>
              </w:tabs>
              <w:spacing w:after="0" w:line="27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„Опасни химични вещества“:</w:t>
            </w:r>
          </w:p>
          <w:p w14:paraId="3C4BD2A2" w14:textId="77777777" w:rsidR="00872585" w:rsidRPr="00C422C8" w:rsidRDefault="00872585" w:rsidP="00872585">
            <w:pPr>
              <w:pStyle w:val="20"/>
              <w:shd w:val="clear" w:color="auto" w:fill="auto"/>
              <w:tabs>
                <w:tab w:val="left" w:pos="475"/>
              </w:tabs>
              <w:spacing w:line="270" w:lineRule="exact"/>
              <w:ind w:firstLine="50"/>
              <w:cnfStyle w:val="000000000000" w:firstRow="0" w:lastRow="0" w:firstColumn="0" w:lastColumn="0" w:oddVBand="0" w:evenVBand="0" w:oddHBand="0" w:evenHBand="0" w:firstRowFirstColumn="0" w:firstRowLastColumn="0" w:lastRowFirstColumn="0" w:lastRowLastColumn="0"/>
            </w:pPr>
            <w:r w:rsidRPr="00C422C8">
              <w:t>Приемаме без забележка Доклад за екологична оценка на „Проекта на Генерален план на пристанище за обществен транспорт Русе“.</w:t>
            </w:r>
          </w:p>
          <w:p w14:paraId="43DC5F74" w14:textId="77777777" w:rsidR="00872585" w:rsidRPr="00C422C8" w:rsidRDefault="00872585" w:rsidP="00872585">
            <w:pPr>
              <w:pStyle w:val="60"/>
              <w:numPr>
                <w:ilvl w:val="0"/>
                <w:numId w:val="2"/>
              </w:numPr>
              <w:shd w:val="clear" w:color="auto" w:fill="auto"/>
              <w:tabs>
                <w:tab w:val="left" w:pos="475"/>
              </w:tabs>
              <w:spacing w:after="0" w:line="22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„Води“:</w:t>
            </w:r>
          </w:p>
          <w:p w14:paraId="7F20ABD4" w14:textId="77777777" w:rsidR="00872585" w:rsidRPr="00C422C8" w:rsidRDefault="00872585" w:rsidP="00872585">
            <w:pPr>
              <w:tabs>
                <w:tab w:val="left" w:pos="475"/>
              </w:tabs>
              <w:ind w:firstLine="5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След запознаване с внесената информация приемаме Доклад за екологична оценка на „Проекта на Генерален план на пристанище за обществен транспорт Русе“.</w:t>
            </w:r>
          </w:p>
          <w:p w14:paraId="236CD802" w14:textId="77777777" w:rsidR="00872585" w:rsidRPr="00C422C8" w:rsidRDefault="00872585" w:rsidP="00872585">
            <w:pPr>
              <w:pStyle w:val="60"/>
              <w:numPr>
                <w:ilvl w:val="0"/>
                <w:numId w:val="2"/>
              </w:numPr>
              <w:shd w:val="clear" w:color="auto" w:fill="auto"/>
              <w:tabs>
                <w:tab w:val="left" w:pos="475"/>
              </w:tabs>
              <w:spacing w:after="0" w:line="220" w:lineRule="exact"/>
              <w:ind w:firstLine="50"/>
              <w:jc w:val="both"/>
              <w:cnfStyle w:val="000000000000" w:firstRow="0" w:lastRow="0" w:firstColumn="0" w:lastColumn="0" w:oddVBand="0" w:evenVBand="0" w:oddHBand="0" w:evenHBand="0" w:firstRowFirstColumn="0" w:firstRowLastColumn="0" w:lastRowFirstColumn="0" w:lastRowLastColumn="0"/>
            </w:pPr>
            <w:r w:rsidRPr="00C422C8">
              <w:t>В част „Биологично разнообразие, защитени територии и зони“:</w:t>
            </w:r>
          </w:p>
          <w:p w14:paraId="21A77F19" w14:textId="77777777" w:rsidR="00872585" w:rsidRPr="00C422C8" w:rsidRDefault="00872585" w:rsidP="00872585">
            <w:pPr>
              <w:pStyle w:val="20"/>
              <w:shd w:val="clear" w:color="auto" w:fill="auto"/>
              <w:ind w:firstLine="0"/>
              <w:cnfStyle w:val="000000000000" w:firstRow="0" w:lastRow="0" w:firstColumn="0" w:lastColumn="0" w:oddVBand="0" w:evenVBand="0" w:oddHBand="0" w:evenHBand="0" w:firstRowFirstColumn="0" w:firstRowLastColumn="0" w:lastRowFirstColumn="0" w:lastRowLastColumn="0"/>
            </w:pPr>
            <w:r w:rsidRPr="00C422C8">
              <w:t xml:space="preserve">В ДЕО е направено описание на състоянието на растителността, флората и фауната, защитените зони и територии в териториалния обхват на плана и е направен анализ на съществуващите екологични проблеми в района, установени на различно ниво, имащи отношение към плана в т.ч. на връзката между екологичните проблеми и предвижданията на плана, съответно - изводи дали плана води до подобряване на екологичната обстановка, или до влошаване и задълбочаване на съществуващи екологични проблеми и/или възникване на нови </w:t>
            </w:r>
            <w:r w:rsidRPr="00C422C8">
              <w:lastRenderedPageBreak/>
              <w:t>такива. Направена е оценка на очакваното въздействие от реализиране на мерките върху защитените зони, защитените територии, растителния и животински свят.</w:t>
            </w:r>
          </w:p>
          <w:p w14:paraId="31C3A8AA" w14:textId="7C71456E" w:rsidR="00872585" w:rsidRPr="00C422C8" w:rsidRDefault="00872585" w:rsidP="00872585">
            <w:pPr>
              <w:pStyle w:val="20"/>
              <w:shd w:val="clear" w:color="auto" w:fill="auto"/>
              <w:ind w:firstLine="0"/>
              <w:cnfStyle w:val="000000000000" w:firstRow="0" w:lastRow="0" w:firstColumn="0" w:lastColumn="0" w:oddVBand="0" w:evenVBand="0" w:oddHBand="0" w:evenHBand="0" w:firstRowFirstColumn="0" w:firstRowLastColumn="0" w:lastRowFirstColumn="0" w:lastRowLastColumn="0"/>
            </w:pPr>
            <w:r w:rsidRPr="00C422C8">
              <w:t>Предложената мярка за опазване на биологичното разнообразие „Да се избягват драгажни дейност в размножителния период на рибите (март - юни)“ е с пожелателен характер и поради това не гарантира свеждане до минимум на отрицателното въздействие върху него.</w:t>
            </w:r>
          </w:p>
          <w:p w14:paraId="5E3C5541" w14:textId="3A2A5FA5"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7.1 „Мерки за отразяване в окончателния вариант на генералния план на пристанище за обществен транспорт Русе“ да се предвидят и мерки за опазване на биологичното разнообразие.</w:t>
            </w:r>
          </w:p>
        </w:tc>
        <w:tc>
          <w:tcPr>
            <w:tcW w:w="2191" w:type="dxa"/>
          </w:tcPr>
          <w:p w14:paraId="6D111A69"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02BE86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D170502"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33D2841"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4CB2803"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1EFADD7"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B423AEF"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49FD16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0FC22B"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297EE31"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8E057CE"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CA8D846"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3CD116"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A7B6D9"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96E9487"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172DF20"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1A5F13B"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702DA47"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D4E9AD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43E8F8D"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8ADDE39"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F459EA"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BC65AAB"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30E3104"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A4212BF"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D0E4CE6"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401295A"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76D7CD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41E019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773C24F"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945D99A"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083AF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51697FA"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AA9F6E1"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3121295"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FAE24E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B50CF6C"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C93681"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DE20E6F"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2A7FF8F"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A8CC1FB"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89B038E"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9F9261" w14:textId="30D5C1D5" w:rsidR="00872585" w:rsidRPr="00C422C8" w:rsidRDefault="00746617"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 т. 7.2 от ДЕО са заложени допълнителни мерки по отношение биологичното разнообразие</w:t>
            </w:r>
          </w:p>
        </w:tc>
      </w:tr>
      <w:tr w:rsidR="00872585" w:rsidRPr="00C422C8" w14:paraId="0205AB78"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60AF5D96" w14:textId="3B7C0CF5" w:rsidR="00872585" w:rsidRPr="00C422C8" w:rsidRDefault="00A62945" w:rsidP="00872585">
            <w:pPr>
              <w:rPr>
                <w:rFonts w:ascii="Times New Roman" w:hAnsi="Times New Roman" w:cs="Times New Roman"/>
                <w:color w:val="000000"/>
              </w:rPr>
            </w:pPr>
            <w:r w:rsidRPr="00C422C8">
              <w:rPr>
                <w:rFonts w:ascii="Times New Roman" w:hAnsi="Times New Roman" w:cs="Times New Roman"/>
                <w:color w:val="000000"/>
              </w:rPr>
              <w:lastRenderedPageBreak/>
              <w:t>13</w:t>
            </w:r>
          </w:p>
        </w:tc>
        <w:tc>
          <w:tcPr>
            <w:tcW w:w="2127" w:type="dxa"/>
          </w:tcPr>
          <w:p w14:paraId="42A63F93" w14:textId="60C147F2"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„Водоснабдяване и канализация“ ООД - Русе</w:t>
            </w:r>
          </w:p>
        </w:tc>
        <w:tc>
          <w:tcPr>
            <w:tcW w:w="2275" w:type="dxa"/>
          </w:tcPr>
          <w:p w14:paraId="7EE1BC72" w14:textId="615EA708"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К-896#1/ 23.05.2025, получено на 02.06.2025г.</w:t>
            </w:r>
          </w:p>
        </w:tc>
        <w:tc>
          <w:tcPr>
            <w:tcW w:w="6831" w:type="dxa"/>
          </w:tcPr>
          <w:p w14:paraId="51289279"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Докладът са отразени:</w:t>
            </w:r>
          </w:p>
          <w:p w14:paraId="1C8800C7"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поземлен имот ПИ 63427.8.1413 към Пристанищен терминал Русе-изток, наличието на шахтов кладенец за питейна вода и помпена станция с трафопост;</w:t>
            </w:r>
          </w:p>
          <w:p w14:paraId="28929D73" w14:textId="193FAFC3"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В поземлен имот ПИ 63427.8.350 на територията на Пристанищен терминал Русе-изток, колектор за отпадъчни води и открит отливен канал на канализационен колектор Чародейка;</w:t>
            </w:r>
          </w:p>
          <w:p w14:paraId="1BAEFF60" w14:textId="257F7EEA"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За поземлен имот ПИ 63427.8.1009, находящ се в Пристанищен терминал Русе-изток, не е описано наличието на Канална помпена станция 1 (КПС 1), стопанисвана от „ВиК“ ООД- Русе. За експлоатацията на съоръжението между „ВиК“ ООД - Русе и </w:t>
            </w:r>
            <w:r w:rsidRPr="00C422C8">
              <w:rPr>
                <w:rFonts w:ascii="Times New Roman" w:hAnsi="Times New Roman" w:cs="Times New Roman"/>
              </w:rPr>
              <w:lastRenderedPageBreak/>
              <w:t>Община Русе има сключен Договор № 373/31.07.2012 г. В писмо с Наш изх. № К-2273#1/09.10.2024 г. сме представили схема на трасетата на канализационните колектори (с диаметър Ø 1800), преминаващи през имота, като при бъдещи инвестиционни намерения трябва да се спази сервитута от три метра около тях, съгласно Наредба № 8/28.07.1999 г. за правила и норми за разполагане на технически проводи и съоръжения в населени места.</w:t>
            </w:r>
          </w:p>
          <w:p w14:paraId="17C85972"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Докладът за екологична оценка на „Проект на Генерален план на пристанище за обществен транспорт Русе“ предвижда мерки за опазване на санитарно-охранителни зони (СОЗ) около водоизточник, а именно „да не се допуска временно съхранение на отпадъци съдържащи приоритетни, опасни и вредни вещества“, както и да се спазват изискванията на приложение № 2 към чл. 10, ал. 1 на Наредба № 3 за условията и реда за проучване, проектиране, утвърждаване и експлоатация на санитарно- 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(ДВ, бр. 88 от 2000 г.).</w:t>
            </w:r>
          </w:p>
          <w:p w14:paraId="35075DA5" w14:textId="0772132E"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Съгласно гореизложеното е необходимо в Доклада за ЕО да бъдат отразени направените забележки по отношение на поземлен имот ПИ 63427.8.1009 в Пристанищен терминал Русе-изток. При бъдещи инвестиционни намерения за изграждане на пристанищни приемни съоръжения за разделно събиране на отпадъци от кораби и обособяване на площадка за разполагане </w:t>
            </w:r>
            <w:r w:rsidRPr="00C422C8">
              <w:rPr>
                <w:rFonts w:ascii="Times New Roman" w:hAnsi="Times New Roman" w:cs="Times New Roman"/>
              </w:rPr>
              <w:lastRenderedPageBreak/>
              <w:t>на съоръжения за превенция и реагиране при експлоатационни и аварийни замърсявания, е необходимо да бъдат спазени изискванията на Приложение №1 към чл. 6 от Наредба № 8/28.07.1999 г. за правила и норми за разполагане на технически проводи и съоръжения в населени места.</w:t>
            </w:r>
          </w:p>
        </w:tc>
        <w:tc>
          <w:tcPr>
            <w:tcW w:w="2191" w:type="dxa"/>
          </w:tcPr>
          <w:p w14:paraId="140377AA" w14:textId="6A7D72E5"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077E001"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BBF7765"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0CD734E"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4DAEF93" w14:textId="38FB783B"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B53751">
              <w:rPr>
                <w:rFonts w:ascii="Times New Roman" w:hAnsi="Times New Roman" w:cs="Times New Roman"/>
                <w:color w:val="000000" w:themeColor="text1"/>
              </w:rPr>
              <w:t>Предложението е отразено в</w:t>
            </w:r>
            <w:r w:rsidR="00F33031" w:rsidRPr="00B53751">
              <w:rPr>
                <w:rFonts w:ascii="Times New Roman" w:hAnsi="Times New Roman" w:cs="Times New Roman"/>
                <w:color w:val="000000" w:themeColor="text1"/>
              </w:rPr>
              <w:t xml:space="preserve"> точка 1.1.2.1</w:t>
            </w:r>
          </w:p>
          <w:p w14:paraId="60B84E4E"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0C6F65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E39C4C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0C2155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2B1CC14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1D79C17E"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6A06312"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4C27E0" w:rsidRPr="00C422C8" w14:paraId="4CC8A7A1"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47B5E3CB" w14:textId="15992317" w:rsidR="00872585" w:rsidRPr="00C422C8" w:rsidRDefault="00A62945" w:rsidP="00872585">
            <w:pPr>
              <w:rPr>
                <w:rFonts w:ascii="Times New Roman" w:hAnsi="Times New Roman" w:cs="Times New Roman"/>
                <w:color w:val="000000"/>
              </w:rPr>
            </w:pPr>
            <w:r w:rsidRPr="00C422C8">
              <w:rPr>
                <w:rFonts w:ascii="Times New Roman" w:hAnsi="Times New Roman" w:cs="Times New Roman"/>
                <w:color w:val="000000"/>
              </w:rPr>
              <w:lastRenderedPageBreak/>
              <w:t>14</w:t>
            </w:r>
          </w:p>
        </w:tc>
        <w:tc>
          <w:tcPr>
            <w:tcW w:w="2127" w:type="dxa"/>
          </w:tcPr>
          <w:p w14:paraId="27F0C32E" w14:textId="14A152AD"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„Геозащита Плевен“ ЕООД</w:t>
            </w:r>
          </w:p>
        </w:tc>
        <w:tc>
          <w:tcPr>
            <w:tcW w:w="2275" w:type="dxa"/>
          </w:tcPr>
          <w:p w14:paraId="5A7C8CC8" w14:textId="2F96D73C"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РД-09-77 / 03.06.2025 г.</w:t>
            </w:r>
          </w:p>
        </w:tc>
        <w:tc>
          <w:tcPr>
            <w:tcW w:w="6831" w:type="dxa"/>
          </w:tcPr>
          <w:p w14:paraId="213FBFFC"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точка 2.1.3. на ДЕО: Геоложка среда, </w:t>
            </w:r>
            <w:proofErr w:type="spellStart"/>
            <w:r w:rsidRPr="00C422C8">
              <w:rPr>
                <w:rFonts w:ascii="Times New Roman" w:hAnsi="Times New Roman" w:cs="Times New Roman"/>
              </w:rPr>
              <w:t>Физикогеоложки</w:t>
            </w:r>
            <w:proofErr w:type="spellEnd"/>
            <w:r w:rsidRPr="00C422C8">
              <w:rPr>
                <w:rFonts w:ascii="Times New Roman" w:hAnsi="Times New Roman" w:cs="Times New Roman"/>
              </w:rPr>
              <w:t xml:space="preserve"> явления и процеси, е представена информация за регистрираните свлачища в обхвата на проекта, съдържаща данни с основните им характеристики - идентификационен номер, възраст, състояние и др., актуална към 31.12.2024 г.</w:t>
            </w:r>
          </w:p>
          <w:p w14:paraId="25B4E7E3"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Извършена е прогнозна оценка на очакваните въздействия върху геоложката среда в района на пристанищните терминали в резултат от реализацията на плана (таблица 52). Предложени са мерки за опазване на околната среда (таблица 60), които да се отразят в окончателния вариант на Проекта, както и мерки за предотвратяване, намаляване и възможно най-пълно отстраняване на неблагоприятните последствия от осъществяването на плана за околната среда и човешкото здраве в хода на прилагане на Генералния план (таблица 61).</w:t>
            </w:r>
          </w:p>
          <w:p w14:paraId="2830B1EE"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„Геозащита Плевен” ЕООД няма забележки към изготвения Доклад за екологична оценка на „Проект на Генерален план на пристанище за обществен транспорт Русе“.</w:t>
            </w:r>
          </w:p>
          <w:p w14:paraId="7731C306" w14:textId="6F26AF5B"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Информираме Ви, че при инвестиционни намерения в имоти, попадащи в </w:t>
            </w:r>
            <w:proofErr w:type="spellStart"/>
            <w:r w:rsidRPr="00C422C8">
              <w:rPr>
                <w:rFonts w:ascii="Times New Roman" w:hAnsi="Times New Roman" w:cs="Times New Roman"/>
              </w:rPr>
              <w:t>свлачищни</w:t>
            </w:r>
            <w:proofErr w:type="spellEnd"/>
            <w:r w:rsidRPr="00C422C8">
              <w:rPr>
                <w:rFonts w:ascii="Times New Roman" w:hAnsi="Times New Roman" w:cs="Times New Roman"/>
              </w:rPr>
              <w:t xml:space="preserve"> райони, е необходимо да се спазва процедурата по реда на чл. 96, ал. 3 и/или ал. 4 от Закона за устройство на територията.</w:t>
            </w:r>
          </w:p>
        </w:tc>
        <w:tc>
          <w:tcPr>
            <w:tcW w:w="2191" w:type="dxa"/>
          </w:tcPr>
          <w:p w14:paraId="4B13AC5F" w14:textId="2C154F2E"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Становището не съдържа забележки. Препоръките ще бъдат взети предвид. </w:t>
            </w:r>
          </w:p>
        </w:tc>
      </w:tr>
      <w:tr w:rsidR="00872585" w:rsidRPr="00C422C8" w14:paraId="574DAEAC"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1B724A2A" w14:textId="794D8A02" w:rsidR="00872585" w:rsidRPr="00C422C8" w:rsidRDefault="00A62945" w:rsidP="00872585">
            <w:pPr>
              <w:rPr>
                <w:rFonts w:ascii="Times New Roman" w:hAnsi="Times New Roman" w:cs="Times New Roman"/>
                <w:color w:val="000000"/>
              </w:rPr>
            </w:pPr>
            <w:r w:rsidRPr="00C422C8">
              <w:rPr>
                <w:rFonts w:ascii="Times New Roman" w:hAnsi="Times New Roman" w:cs="Times New Roman"/>
                <w:color w:val="000000"/>
              </w:rPr>
              <w:lastRenderedPageBreak/>
              <w:t>15</w:t>
            </w:r>
          </w:p>
        </w:tc>
        <w:tc>
          <w:tcPr>
            <w:tcW w:w="2127" w:type="dxa"/>
          </w:tcPr>
          <w:p w14:paraId="404E63F1" w14:textId="7CFFC5DB"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Агенция „Морска администрация“, Дирекция „Речен надзор-Русе“</w:t>
            </w:r>
          </w:p>
        </w:tc>
        <w:tc>
          <w:tcPr>
            <w:tcW w:w="2275" w:type="dxa"/>
          </w:tcPr>
          <w:p w14:paraId="1A5CF85C" w14:textId="003E9B52"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1336#5/23.05.2025г., получено на 04.06.2025г.</w:t>
            </w:r>
          </w:p>
        </w:tc>
        <w:tc>
          <w:tcPr>
            <w:tcW w:w="6831" w:type="dxa"/>
          </w:tcPr>
          <w:p w14:paraId="2F51EB41"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отговор на писмо. Ваш изх. № 04-14-2-46/08.05.2025 г., относно доклад за Екологична оценка (ЕО) на „Проект на Генерален план на пристанище за обществен транспорт Русе“ и след обстоен преглед на съдържанието на доклада, Ви уведомяваме за следното:</w:t>
            </w:r>
          </w:p>
          <w:p w14:paraId="74BAF793"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w:t>
            </w:r>
            <w:r w:rsidRPr="00C422C8">
              <w:rPr>
                <w:rFonts w:ascii="Times New Roman" w:hAnsi="Times New Roman" w:cs="Times New Roman"/>
              </w:rPr>
              <w:tab/>
              <w:t>Взети са под внимание констатираните неточности, изразени в становището на дирекция „Речен надзор - Русе“, изх. № 3694#3/04.10.2024 г., по изготвено Задание за определяне на обхвата и съдържанието на доклада за Екологична оценка на Проекта на Генерален план на пристанище за обществен транспорт Русе.</w:t>
            </w:r>
          </w:p>
          <w:p w14:paraId="43B8AFDF"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2.</w:t>
            </w:r>
            <w:r w:rsidRPr="00C422C8">
              <w:rPr>
                <w:rFonts w:ascii="Times New Roman" w:hAnsi="Times New Roman" w:cs="Times New Roman"/>
              </w:rPr>
              <w:tab/>
              <w:t>На стр. 17 и стр. 19 в описанието за предназначението на пристанищни терминали съответно Русе-запад, Русе - изток - 1 и Русе - изток - 2 не е включена обработката на опасни товари окисляващи вещества (клас 5.1) по класификацията на Европейското споразумение за международен превоз на опасни товари по вътрешните водни пътища съгласно действащите удостоверения за експлоатационна годност.</w:t>
            </w:r>
          </w:p>
          <w:p w14:paraId="1F3FE664"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3.</w:t>
            </w:r>
            <w:r w:rsidRPr="00C422C8">
              <w:rPr>
                <w:rFonts w:ascii="Times New Roman" w:hAnsi="Times New Roman" w:cs="Times New Roman"/>
              </w:rPr>
              <w:tab/>
              <w:t>На стр. 18 в наименованието на „ПРИСТАНИЩЕН ТЕРМИНАЛ РУСЕ“ липсва допълнение „-център“. Дължината на корабно място № 3 е записана 30 м, но съгласно информационната база данни, поддържана в дирекция „Речен надзор - Русе“ е 80 м.</w:t>
            </w:r>
          </w:p>
          <w:p w14:paraId="71763EC6"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4.</w:t>
            </w:r>
            <w:r w:rsidRPr="00C422C8">
              <w:rPr>
                <w:rFonts w:ascii="Times New Roman" w:hAnsi="Times New Roman" w:cs="Times New Roman"/>
              </w:rPr>
              <w:tab/>
              <w:t>На стр. 19 дължината на корабно място № 9 на пристанищен терминал Русе - изток - 2 е записана 100 м, но съгласно информационната база данни и информацията на стр. 30 от доклада е 150 м.</w:t>
            </w:r>
          </w:p>
          <w:p w14:paraId="605337D3"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5.</w:t>
            </w:r>
            <w:r w:rsidRPr="00C422C8">
              <w:rPr>
                <w:rFonts w:ascii="Times New Roman" w:hAnsi="Times New Roman" w:cs="Times New Roman"/>
              </w:rPr>
              <w:tab/>
              <w:t>На стр. 20 дължините на корабни места № 3 и № 4 на пристанищен терминал Русе - изток - 1 са записани по 110 м, но съгласно информационната база данни и информацията от доклада на стр. 33 е 100 м.</w:t>
            </w:r>
          </w:p>
          <w:p w14:paraId="73918A44"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6.</w:t>
            </w:r>
            <w:r w:rsidRPr="00C422C8">
              <w:rPr>
                <w:rFonts w:ascii="Times New Roman" w:hAnsi="Times New Roman" w:cs="Times New Roman"/>
              </w:rPr>
              <w:tab/>
              <w:t>На стр. 20 дължините на корабни места № 1 и № 2 на пристанищен терминал Русе — изток - 1 са записани по 100 м, но съгласно информационната база данни и информацията от доклада на стр. 33 е 110 м.</w:t>
            </w:r>
          </w:p>
          <w:p w14:paraId="31725322"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7.</w:t>
            </w:r>
            <w:r w:rsidRPr="00C422C8">
              <w:rPr>
                <w:rFonts w:ascii="Times New Roman" w:hAnsi="Times New Roman" w:cs="Times New Roman"/>
              </w:rPr>
              <w:tab/>
              <w:t>На стр. 21 и на стр. 39 за пристанищен терминал Силистра дължината на корабно място № 2 е записана 50 м, но съгласно информационната база данни е 100 м.</w:t>
            </w:r>
          </w:p>
          <w:p w14:paraId="09EBFFB8"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8.</w:t>
            </w:r>
            <w:r w:rsidRPr="00C422C8">
              <w:rPr>
                <w:rFonts w:ascii="Times New Roman" w:hAnsi="Times New Roman" w:cs="Times New Roman"/>
              </w:rPr>
              <w:tab/>
              <w:t>На стр. 22 в предназначението на пристанищен терминал Сомовит не е посочена пристанищната услуга обработка на неопасни наливни товари съгласно действащото удостоверение за експлоатационна годност.</w:t>
            </w:r>
          </w:p>
          <w:p w14:paraId="3DBDEA72"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9.</w:t>
            </w:r>
            <w:r w:rsidRPr="00C422C8">
              <w:rPr>
                <w:rFonts w:ascii="Times New Roman" w:hAnsi="Times New Roman" w:cs="Times New Roman"/>
              </w:rPr>
              <w:tab/>
              <w:t xml:space="preserve">На стр. 22 и стр. 43 са записани три корабни места, като в действителност е регистрирано само едно корабно място (корабно място № 2 - </w:t>
            </w:r>
            <w:proofErr w:type="spellStart"/>
            <w:r w:rsidRPr="00C422C8">
              <w:rPr>
                <w:rFonts w:ascii="Times New Roman" w:hAnsi="Times New Roman" w:cs="Times New Roman"/>
              </w:rPr>
              <w:t>ро-ро</w:t>
            </w:r>
            <w:proofErr w:type="spellEnd"/>
            <w:r w:rsidRPr="00C422C8">
              <w:rPr>
                <w:rFonts w:ascii="Times New Roman" w:hAnsi="Times New Roman" w:cs="Times New Roman"/>
              </w:rPr>
              <w:t xml:space="preserve"> рампа за обработка на </w:t>
            </w:r>
            <w:proofErr w:type="spellStart"/>
            <w:r w:rsidRPr="00C422C8">
              <w:rPr>
                <w:rFonts w:ascii="Times New Roman" w:hAnsi="Times New Roman" w:cs="Times New Roman"/>
              </w:rPr>
              <w:t>ро-ро</w:t>
            </w:r>
            <w:proofErr w:type="spellEnd"/>
            <w:r w:rsidRPr="00C422C8">
              <w:rPr>
                <w:rFonts w:ascii="Times New Roman" w:hAnsi="Times New Roman" w:cs="Times New Roman"/>
              </w:rPr>
              <w:t xml:space="preserve"> и фериботни товари). </w:t>
            </w:r>
          </w:p>
          <w:p w14:paraId="39D7DE86"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TLP: GREEN</w:t>
            </w:r>
          </w:p>
          <w:p w14:paraId="29807C9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10.</w:t>
            </w:r>
            <w:r w:rsidRPr="00C422C8">
              <w:rPr>
                <w:rFonts w:ascii="Times New Roman" w:hAnsi="Times New Roman" w:cs="Times New Roman"/>
              </w:rPr>
              <w:tab/>
            </w:r>
            <w:proofErr w:type="spellStart"/>
            <w:r w:rsidRPr="00C422C8">
              <w:rPr>
                <w:rFonts w:ascii="Times New Roman" w:hAnsi="Times New Roman" w:cs="Times New Roman"/>
              </w:rPr>
              <w:t>Ha</w:t>
            </w:r>
            <w:proofErr w:type="spellEnd"/>
            <w:r w:rsidRPr="00C422C8">
              <w:rPr>
                <w:rFonts w:ascii="Times New Roman" w:hAnsi="Times New Roman" w:cs="Times New Roman"/>
              </w:rPr>
              <w:t xml:space="preserve"> стр. 28 има разминаване в дължината на корабно място № 3 на пристанищен терминал Русе-център с тази, посочена на стр. 18.</w:t>
            </w:r>
          </w:p>
          <w:p w14:paraId="41398D3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11.</w:t>
            </w:r>
            <w:r w:rsidRPr="00C422C8">
              <w:rPr>
                <w:rFonts w:ascii="Times New Roman" w:hAnsi="Times New Roman" w:cs="Times New Roman"/>
              </w:rPr>
              <w:tab/>
              <w:t xml:space="preserve">В последния абзац, започващ на стр. 201 е записано, че Планът за приемане и обработване на отпадъци на пристанище за обществен транспорт Русе е одобрен от генералния директор на ДП „Пристанищна инфраструктура“, което е грешно, тъй като </w:t>
            </w:r>
            <w:r w:rsidRPr="00C422C8">
              <w:rPr>
                <w:rFonts w:ascii="Times New Roman" w:hAnsi="Times New Roman" w:cs="Times New Roman"/>
              </w:rPr>
              <w:lastRenderedPageBreak/>
              <w:t xml:space="preserve">същият е одобрен от </w:t>
            </w:r>
            <w:bookmarkStart w:id="0" w:name="_Hlk204172392"/>
            <w:r w:rsidRPr="00C422C8">
              <w:rPr>
                <w:rFonts w:ascii="Times New Roman" w:hAnsi="Times New Roman" w:cs="Times New Roman"/>
              </w:rPr>
              <w:t>изпълнителния директор на Изпълнителна агенция „Морска администрация“, съгласно изискванията на чл. 23, ал. 1 от Наредба № 9 от 2013 г. за изискванията за експлоатационна годност на пристанищата и специализираните пристанищни обекти</w:t>
            </w:r>
            <w:bookmarkEnd w:id="0"/>
            <w:r w:rsidRPr="00C422C8">
              <w:rPr>
                <w:rFonts w:ascii="Times New Roman" w:hAnsi="Times New Roman" w:cs="Times New Roman"/>
              </w:rPr>
              <w:t>.</w:t>
            </w:r>
          </w:p>
          <w:p w14:paraId="57EC672D"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12.</w:t>
            </w:r>
            <w:r w:rsidRPr="00C422C8">
              <w:rPr>
                <w:rFonts w:ascii="Times New Roman" w:hAnsi="Times New Roman" w:cs="Times New Roman"/>
              </w:rPr>
              <w:tab/>
              <w:t xml:space="preserve"> На стр. 202, трети абзац записът „Остатъците от корабни товари, определени като замърсители от Европейското съглашение за превоз на опасни товари по вътрешни водни пътища ВОПОГ/ADN (ДВ, бр. 43 от 2008 г., ратифицирано със закон - ДВ, бр. 9 от 2006 г.) се събират и предават единствено в специално определени контейнери или други подходящи вместимости на територията на пристанището.“, което противоречи на одобрения на 30.12.2024 г. план на пристанище за обществен транспорт Русе, според който се събират само смесени битови отпадъци.</w:t>
            </w:r>
          </w:p>
          <w:p w14:paraId="7648ECD8"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13.</w:t>
            </w:r>
            <w:r w:rsidRPr="00C422C8">
              <w:rPr>
                <w:rFonts w:ascii="Times New Roman" w:hAnsi="Times New Roman" w:cs="Times New Roman"/>
              </w:rPr>
              <w:tab/>
              <w:t>Текстът на последния абзац на стр. 203 е неясен и неточен. Видно от фигура 86 площадката за разполагане на съоръжения за превенция и реагиране при експлоатационни и аварийни замърсявания е разположена в поземлен имот № 63427.8.1009, който съгласно описанието на стр. 14 от доклада попада в териториалния обхват на обособена зона Русе -изток, а не в „ПТ Русе“.</w:t>
            </w:r>
          </w:p>
          <w:p w14:paraId="7BB092CC" w14:textId="0780444A"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заключение, моля да вземете предвид посочените по-горе забележки при отразяване на резултатите от проведените консултации по доклада.</w:t>
            </w:r>
          </w:p>
        </w:tc>
        <w:tc>
          <w:tcPr>
            <w:tcW w:w="2191" w:type="dxa"/>
          </w:tcPr>
          <w:p w14:paraId="771EA24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0081971"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7BDCE4B"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F066344"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6D5F0B71"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256B8E28"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549A6D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FEFA53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685F45EB"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626D5C2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30151D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18A04333" w14:textId="088B25FB"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t>Предложението е отразено в</w:t>
            </w:r>
            <w:r w:rsidR="00F33031" w:rsidRPr="00543AEA">
              <w:rPr>
                <w:rFonts w:ascii="Times New Roman" w:hAnsi="Times New Roman" w:cs="Times New Roman"/>
                <w:color w:val="000000" w:themeColor="text1"/>
              </w:rPr>
              <w:t xml:space="preserve"> точка 1.1.2.2</w:t>
            </w:r>
          </w:p>
          <w:p w14:paraId="1C8CF6D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F734E4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7CE77A55"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1233791"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1E681D5F" w14:textId="77777777" w:rsidR="00557D49" w:rsidRPr="00C422C8" w:rsidRDefault="00557D49" w:rsidP="00557D4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t>Предложението е отразено в точка 1.1.2.2</w:t>
            </w:r>
          </w:p>
          <w:p w14:paraId="0CEBAE58"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034ED8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1B3B94F0" w14:textId="77777777" w:rsidR="00557D49" w:rsidRPr="00C422C8" w:rsidRDefault="00557D49" w:rsidP="00557D4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t>Предложението е отразено в точка 1.1.2.2</w:t>
            </w:r>
          </w:p>
          <w:p w14:paraId="3E76CF8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57CD8358" w14:textId="77777777" w:rsidR="00557D49" w:rsidRPr="00C422C8" w:rsidRDefault="00557D49" w:rsidP="00557D4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lastRenderedPageBreak/>
              <w:t>Предложението е отразено в точка 1.1.2.2</w:t>
            </w:r>
          </w:p>
          <w:p w14:paraId="2C2F4E7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4E2F2BA8"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02349DBD" w14:textId="779A3FA0" w:rsidR="00557D49" w:rsidRPr="00C422C8" w:rsidRDefault="00557D49" w:rsidP="00557D49">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t>Предложението е отразено в точка 1.1.2.2 и 1.1.3.1</w:t>
            </w:r>
          </w:p>
          <w:p w14:paraId="7AA2820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875F38A" w14:textId="77777777" w:rsidR="009B32CA" w:rsidRPr="00C422C8" w:rsidRDefault="009B32CA" w:rsidP="009B32C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543AEA">
              <w:rPr>
                <w:rFonts w:ascii="Times New Roman" w:hAnsi="Times New Roman" w:cs="Times New Roman"/>
                <w:color w:val="000000" w:themeColor="text1"/>
              </w:rPr>
              <w:t>Предложението е отразено в точка 1.1.2.2 и 1.1.3.1</w:t>
            </w:r>
          </w:p>
          <w:p w14:paraId="52E89CD6" w14:textId="226DA62C" w:rsidR="00872585" w:rsidRPr="00C422C8" w:rsidRDefault="009B32CA"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r w:rsidRPr="00543AEA">
              <w:rPr>
                <w:rFonts w:ascii="Times New Roman" w:hAnsi="Times New Roman" w:cs="Times New Roman"/>
                <w:color w:val="000000" w:themeColor="text1"/>
              </w:rPr>
              <w:t xml:space="preserve">Предложението е отразено в точка 1.1.2.2 </w:t>
            </w:r>
          </w:p>
          <w:p w14:paraId="3605FB5A"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794320B" w14:textId="6031F2FF" w:rsidR="00872585" w:rsidRPr="00C422C8" w:rsidRDefault="009031A0"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color w:val="000000" w:themeColor="text1"/>
              </w:rPr>
              <w:t xml:space="preserve">Направено уточнение в </w:t>
            </w:r>
            <w:proofErr w:type="spellStart"/>
            <w:r w:rsidRPr="00543AEA">
              <w:rPr>
                <w:rFonts w:ascii="Times New Roman" w:hAnsi="Times New Roman" w:cs="Times New Roman"/>
                <w:color w:val="000000" w:themeColor="text1"/>
              </w:rPr>
              <w:t>в</w:t>
            </w:r>
            <w:proofErr w:type="spellEnd"/>
            <w:r w:rsidRPr="00543AEA">
              <w:rPr>
                <w:rFonts w:ascii="Times New Roman" w:hAnsi="Times New Roman" w:cs="Times New Roman"/>
                <w:color w:val="000000" w:themeColor="text1"/>
              </w:rPr>
              <w:t xml:space="preserve"> точка 1.1.2.2</w:t>
            </w:r>
          </w:p>
          <w:p w14:paraId="434E22A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C51B94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074CD46F" w14:textId="2541D32B" w:rsidR="00872585" w:rsidRPr="009031A0" w:rsidRDefault="009031A0"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lang w:val="en-US"/>
              </w:rPr>
            </w:pPr>
            <w:r>
              <w:rPr>
                <w:rFonts w:ascii="Times New Roman" w:hAnsi="Times New Roman" w:cs="Times New Roman"/>
                <w:color w:val="000000" w:themeColor="text1"/>
              </w:rPr>
              <w:t>Отстранено е разминаването – дължината е 80</w:t>
            </w:r>
            <w:r>
              <w:rPr>
                <w:rFonts w:ascii="Times New Roman" w:hAnsi="Times New Roman" w:cs="Times New Roman"/>
                <w:color w:val="000000" w:themeColor="text1"/>
                <w:lang w:val="en-US"/>
              </w:rPr>
              <w:t>m</w:t>
            </w:r>
          </w:p>
          <w:p w14:paraId="0EF1073E" w14:textId="73A8E97A" w:rsidR="00872585" w:rsidRPr="00A653E4" w:rsidRDefault="00A653E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Нанесена е корекция в текста</w:t>
            </w:r>
          </w:p>
          <w:p w14:paraId="29251706"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B3341AB"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A4C475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F8592F6"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268FFF2"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0B315545"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7EE36061"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E555000" w14:textId="3A78E2C8" w:rsidR="00872585" w:rsidRPr="00C422C8" w:rsidRDefault="00A653E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color w:val="000000" w:themeColor="text1"/>
              </w:rPr>
              <w:t>Текста е премахнат</w:t>
            </w:r>
          </w:p>
          <w:p w14:paraId="11275E32"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FD83FCA"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4CAE07F3"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374D4782"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32A9B330"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06BF727B"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44A4012E"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8C1795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D460E2A" w14:textId="5786B80F" w:rsidR="00872585" w:rsidRPr="00C422C8" w:rsidRDefault="00A653E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color w:val="000000" w:themeColor="text1"/>
              </w:rPr>
              <w:t>Текста е коригиран</w:t>
            </w:r>
          </w:p>
          <w:p w14:paraId="749D9ABC"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FF3B315"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6B2D9EF5"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1AEA40F"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59A59CF"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21F05B7"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4C0B5A6A"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60669B4B"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p w14:paraId="3FFC90D9"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72585" w:rsidRPr="00C422C8" w14:paraId="5599B641"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6A79CBEB" w14:textId="1866F5A3"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16</w:t>
            </w:r>
          </w:p>
        </w:tc>
        <w:tc>
          <w:tcPr>
            <w:tcW w:w="2127" w:type="dxa"/>
          </w:tcPr>
          <w:p w14:paraId="58D036BA" w14:textId="499960D1"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Министерство на здравеопазването</w:t>
            </w:r>
          </w:p>
        </w:tc>
        <w:tc>
          <w:tcPr>
            <w:tcW w:w="2275" w:type="dxa"/>
          </w:tcPr>
          <w:p w14:paraId="46D06259" w14:textId="7E9B87C2"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04-09-43/05.06.2025</w:t>
            </w:r>
          </w:p>
        </w:tc>
        <w:tc>
          <w:tcPr>
            <w:tcW w:w="6831" w:type="dxa"/>
          </w:tcPr>
          <w:p w14:paraId="3D53FF21"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Съгласно Доклада за екологична оценка, инфраструктурата на пристанище за обществен транспорт Русе включва 10 броя </w:t>
            </w:r>
            <w:r w:rsidRPr="00C422C8">
              <w:rPr>
                <w:rFonts w:ascii="Times New Roman" w:hAnsi="Times New Roman" w:cs="Times New Roman"/>
              </w:rPr>
              <w:lastRenderedPageBreak/>
              <w:t>пристанищни терминали, на които се извършват разнообразни по характер и обем дейности като обработка на генерални, насипни и наливни товари, контейнери и „</w:t>
            </w:r>
            <w:proofErr w:type="spellStart"/>
            <w:r w:rsidRPr="00C422C8">
              <w:rPr>
                <w:rFonts w:ascii="Times New Roman" w:hAnsi="Times New Roman" w:cs="Times New Roman"/>
              </w:rPr>
              <w:t>ро</w:t>
            </w:r>
            <w:proofErr w:type="spellEnd"/>
            <w:r w:rsidRPr="00C422C8">
              <w:rPr>
                <w:rFonts w:ascii="Times New Roman" w:hAnsi="Times New Roman" w:cs="Times New Roman"/>
              </w:rPr>
              <w:t xml:space="preserve"> </w:t>
            </w:r>
            <w:proofErr w:type="spellStart"/>
            <w:r w:rsidRPr="00C422C8">
              <w:rPr>
                <w:rFonts w:ascii="Times New Roman" w:hAnsi="Times New Roman" w:cs="Times New Roman"/>
              </w:rPr>
              <w:t>ро</w:t>
            </w:r>
            <w:proofErr w:type="spellEnd"/>
            <w:r w:rsidRPr="00C422C8">
              <w:rPr>
                <w:rFonts w:ascii="Times New Roman" w:hAnsi="Times New Roman" w:cs="Times New Roman"/>
              </w:rPr>
              <w:t xml:space="preserve">“ товари - леки и товарни автомобили, автобуси, селскостопански и други самоходни машини на колесен ход, поща, приемане и преминаване на пътници и престой на плавателни съдове, </w:t>
            </w:r>
            <w:proofErr w:type="spellStart"/>
            <w:r w:rsidRPr="00C422C8">
              <w:rPr>
                <w:rFonts w:ascii="Times New Roman" w:hAnsi="Times New Roman" w:cs="Times New Roman"/>
              </w:rPr>
              <w:t>бункероване</w:t>
            </w:r>
            <w:proofErr w:type="spellEnd"/>
            <w:r w:rsidRPr="00C422C8">
              <w:rPr>
                <w:rFonts w:ascii="Times New Roman" w:hAnsi="Times New Roman" w:cs="Times New Roman"/>
              </w:rPr>
              <w:t xml:space="preserve"> на кораби (гориво, смазочни материали, вода) и др.</w:t>
            </w:r>
          </w:p>
          <w:p w14:paraId="5A6F76C5"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Доклада е посочено разстоянието само на 6 от пристанищните терминали (ПТ) до обекти, подлежащи на здравна защита, а именно: </w:t>
            </w:r>
          </w:p>
          <w:p w14:paraId="012C3EFC"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60 м от ПТ Русе-Център, </w:t>
            </w:r>
          </w:p>
          <w:p w14:paraId="1978EDBD"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65 м от ПТ Сомовит, </w:t>
            </w:r>
          </w:p>
          <w:p w14:paraId="4F453B3C"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200 м от ПТ Никопол, </w:t>
            </w:r>
          </w:p>
          <w:p w14:paraId="2DFE4E64"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70 м от ПТ Свищов.</w:t>
            </w:r>
          </w:p>
          <w:p w14:paraId="10122F8B"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15 м от пристанищен терминал Тутракан, </w:t>
            </w:r>
          </w:p>
          <w:p w14:paraId="24B6997A"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и на 35 м от пристанищен терминал Силистра.</w:t>
            </w:r>
          </w:p>
          <w:p w14:paraId="5C158668"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ab/>
              <w:t>В Доклада не е посочен вида на обектите, нито е извършена цялостна оценка на въздействие върху тях, тъй като авторите на ДЕО са счели, че тези разстояния са достатъчни. Считаме обаче, че този подход е неправилен, тъй като ако се отчита само разстоянието, разстояния от 15-100 м. например са близки.</w:t>
            </w:r>
          </w:p>
          <w:p w14:paraId="48A74C0F"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При оценката на риска за човешкото здраве са използвани данни и от провеждания от РЗИ мониторинг на факторите на жизнената среда. Изведеният обаче извод, че тъй като РЗИ за определена година не е извършвала мониторинг на нивата на електромагнитни полета в пунктове, разположени в близост до </w:t>
            </w:r>
            <w:r w:rsidRPr="00C422C8">
              <w:rPr>
                <w:rFonts w:ascii="Times New Roman" w:hAnsi="Times New Roman" w:cs="Times New Roman"/>
              </w:rPr>
              <w:lastRenderedPageBreak/>
              <w:t xml:space="preserve">пристанищните терминали, предполага липсата на източници на </w:t>
            </w:r>
            <w:proofErr w:type="spellStart"/>
            <w:r w:rsidRPr="00C422C8">
              <w:rPr>
                <w:rFonts w:ascii="Times New Roman" w:hAnsi="Times New Roman" w:cs="Times New Roman"/>
              </w:rPr>
              <w:t>нейонизиращи</w:t>
            </w:r>
            <w:proofErr w:type="spellEnd"/>
            <w:r w:rsidRPr="00C422C8">
              <w:rPr>
                <w:rFonts w:ascii="Times New Roman" w:hAnsi="Times New Roman" w:cs="Times New Roman"/>
              </w:rPr>
              <w:t xml:space="preserve"> лъчения, които да представляват здравен риск за населението, живеещо в близост до тях е неверен. Същото се отнася и за другите фактори и компоненти на околната и жизнената среда. Липсата на пункт за мониторинг на атмосферния въздух на РИОСВ напр., също не е основание да се изведе извода, че „няма предпоставки за среда с неблагоприятен здравен ефект“.</w:t>
            </w:r>
          </w:p>
          <w:p w14:paraId="551DB25D"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Ролята на ДЕО е да оцени в цялост очакваното въздействие върху факторите и компонентите на околната и жизнената среда и от там върху човешкото здраве. В хода на тази оценка могат да се ползват официалните данни от провеждания от компетентните органи мониторинг, като при липсата на такива авторите на доклада следва да извършат съответните измервания и изчисления за адекватна оценка на здравния риск. </w:t>
            </w:r>
          </w:p>
          <w:p w14:paraId="6F508E99"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Предоставената информация и направената оценка за засегнатите </w:t>
            </w:r>
            <w:proofErr w:type="spellStart"/>
            <w:r w:rsidRPr="00C422C8">
              <w:rPr>
                <w:rFonts w:ascii="Times New Roman" w:hAnsi="Times New Roman" w:cs="Times New Roman"/>
              </w:rPr>
              <w:t>водовземни</w:t>
            </w:r>
            <w:proofErr w:type="spellEnd"/>
            <w:r w:rsidRPr="00C422C8">
              <w:rPr>
                <w:rFonts w:ascii="Times New Roman" w:hAnsi="Times New Roman" w:cs="Times New Roman"/>
              </w:rPr>
              <w:t xml:space="preserve"> съоръжения за питейно-битово водоснабдяване и санитарно охранителни зони е схематична и непълна. Не се добива яснота за вида на </w:t>
            </w:r>
            <w:proofErr w:type="spellStart"/>
            <w:r w:rsidRPr="00C422C8">
              <w:rPr>
                <w:rFonts w:ascii="Times New Roman" w:hAnsi="Times New Roman" w:cs="Times New Roman"/>
              </w:rPr>
              <w:t>водовземните</w:t>
            </w:r>
            <w:proofErr w:type="spellEnd"/>
            <w:r w:rsidRPr="00C422C8">
              <w:rPr>
                <w:rFonts w:ascii="Times New Roman" w:hAnsi="Times New Roman" w:cs="Times New Roman"/>
              </w:rPr>
              <w:t xml:space="preserve"> съоръжения, местоположенията им, предназначението им, качествата на подаваната вода и т.н. В Регистъра на зоните за защита на питейни води от подземни водни тела (ПВТ) на БДДР към 2009 г. (ПУРБ ДР Приложение 3. 1.3, т. 10) за ПВТ с код BG1G0000QAL008 са вписани 7 бр. учредени СОЗ. В доклада липсва информация и оценка на тези СОЗ. </w:t>
            </w:r>
          </w:p>
          <w:p w14:paraId="135AB911"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8BCE69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96D9CEE"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2027FE5"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CA82EF"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2E2BAC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61B5D9"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C578855"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8959A6"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E624D78"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C1B514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2ED280"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98C80E5"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5161D4"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F54778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D57B232"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BD43CE7"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52BC96"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82297CA"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75E8F2"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FE7CF3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ACB71D8"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57A9EE"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3C4505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586373A"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D0C6E9"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266ED5F"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E1DA8E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A12C5C2"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2D9C5F8"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8489A57"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B494F53"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6DFEB8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6F8EE8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5831A3"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18F85C7"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99BCBC9"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9E3489E"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DD4E83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E7D02B4"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D31C311"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003466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327C22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5E415D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466E79"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870164"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2DE9CB8"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F66B8B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305D15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C82A00"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3B4CA3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AE4736E"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D1C56AD"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DC59E6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E47C07A"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278BC98"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85E8B8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AFE22AA"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F96FC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33E22AF"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FD366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758525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D617A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5ACBF90"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A6452F"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79D1345"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5194E4B"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8D3E979"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74381B7"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828C2D4"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02D05F"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10720EA"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356BFE6"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4EC610"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321AEAC" w14:textId="77777777" w:rsidR="00B559BA" w:rsidRDefault="00B559BA"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E00DB25"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47D509"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F39F7F"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ACFBF69"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0C72DBD"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DE57773"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BB91B27"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F349A17"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C8870A"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B7DD79B"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D857EE4"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E36B284"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C8D699"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3767B0"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C4DF6BB"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8626F99"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921B010"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B45042C"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AED7AEE" w14:textId="77777777" w:rsidR="00381121" w:rsidRDefault="00381121"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C3C83FB"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3DB9929"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31A6E7E"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811A58B"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929ADB8"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AB333ED"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EA1E69E"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19E3357"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995C344" w14:textId="77777777" w:rsidR="00D61CF5" w:rsidRDefault="00D61CF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A7FF2D0" w14:textId="77777777" w:rsidR="002D537D" w:rsidRDefault="002D537D"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07B643E" w14:textId="05763688"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Във връзка с гореизложеното, предвид близостта на пристанищните терминали, характера и обема на дейностите, които се извършват на територията им, както и комплексното им въздействие, непосредствената близост до територии и/или зони и обекти подлежащи на здравна защита, считаме, че информацията следва да се допълни в съответствие с посоченото </w:t>
            </w:r>
            <w:r w:rsidRPr="00C422C8">
              <w:rPr>
                <w:rFonts w:ascii="Times New Roman" w:hAnsi="Times New Roman" w:cs="Times New Roman"/>
              </w:rPr>
              <w:lastRenderedPageBreak/>
              <w:t xml:space="preserve">по-горе, и да се съобрази със становището на Министерство на здравеопазването, изразено с писмо  наш изх. № 04-09-43/07.10.2025 г. </w:t>
            </w:r>
          </w:p>
          <w:p w14:paraId="18C15E4A"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Изведения извод по отношение здравно-демографското състояние, което е „без отношение към Генералния план“ следва да се обоснове, вкл. като се направи прогнозна оценка за влиянието върху здравно-демографското състояние при прилагането на плана, в съответствие с посоченото на т. 8 от цитираното по-горе писмо на МЗ.</w:t>
            </w:r>
          </w:p>
          <w:p w14:paraId="4D4B0677"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съответствие с направените анализи и оценки, в ДЕО следва да бъдат включени релевантни мерки, с цел недопускане на негативно въздействие върху територии и обекти подлежащи на здравна защита, като информацията за оценката на здравния риск може да бъде разгледана в самостоятелен раздел, който в систематизиран вид да съдържа цялата информация.</w:t>
            </w:r>
          </w:p>
          <w:p w14:paraId="3323D37C"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DB6264"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0B9CAE5"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D99FD52"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DBDD2A"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21EB39"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67D90E8"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BB48A89" w14:textId="77777777" w:rsidR="006B6B77" w:rsidRDefault="006B6B77"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4D94FC" w14:textId="77777777" w:rsidR="00281FA4" w:rsidRDefault="00281FA4"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4AF27FF" w14:textId="77777777" w:rsidR="00281FA4" w:rsidRDefault="00281FA4"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359D5EF" w14:textId="2A2D020E"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В допълнение, в ДЕО следва да се включи информация относно осигуряването на условия за провеждане на граничен здравен контрол на съответните терминали, обслужващи пътници.</w:t>
            </w:r>
          </w:p>
        </w:tc>
        <w:tc>
          <w:tcPr>
            <w:tcW w:w="2191" w:type="dxa"/>
          </w:tcPr>
          <w:p w14:paraId="576C175A"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434664B"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7F4D3066"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663748D"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04F045E"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702E995"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35627D2"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6E1B0B70"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7D7BE50F"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0A703EDE"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F1C8791"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C0A5B89"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270998B8"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A291B92"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23D18E9D"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237FB282"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332AC29A"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85A99E1"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073AD5D" w14:textId="71F64929" w:rsidR="00B559BA" w:rsidRPr="00C422C8"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 xml:space="preserve">Оценката по отношение КАВ ш електромагнитните лъчения е ревизирана и обоснована в съответния раздел на ДЕО. По отношение фактор шум ДЕО е допълнен с ново </w:t>
            </w:r>
            <w:r>
              <w:rPr>
                <w:rFonts w:ascii="Times New Roman" w:hAnsi="Times New Roman" w:cs="Times New Roman"/>
                <w:color w:val="000000" w:themeColor="text1"/>
              </w:rPr>
              <w:lastRenderedPageBreak/>
              <w:t>Приложение 7, което съдържа детайлна оценка за въздействия върху акустичната среда.</w:t>
            </w:r>
          </w:p>
          <w:p w14:paraId="0C77020A"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E404226"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D33E4D6"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AF330A3"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E31E30E"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3823ED6"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23F3D34"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8F82D60"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F4A19F6"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BDF48AE"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1C9EC61" w14:textId="7A7E2BBD"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B559BA">
              <w:rPr>
                <w:rFonts w:ascii="Times New Roman" w:hAnsi="Times New Roman" w:cs="Times New Roman"/>
                <w:color w:val="000000" w:themeColor="text1"/>
              </w:rPr>
              <w:t xml:space="preserve">Съгласно писмо на БД „Дунавски район“ с изх. № ПУ-01-16(9) от 10.10.2024г. към настоящият момент част от имотите на пристанищен терминал Силистра в които се разположени </w:t>
            </w:r>
            <w:r w:rsidRPr="00B559BA">
              <w:rPr>
                <w:rFonts w:ascii="Times New Roman" w:hAnsi="Times New Roman" w:cs="Times New Roman"/>
                <w:color w:val="000000" w:themeColor="text1"/>
              </w:rPr>
              <w:lastRenderedPageBreak/>
              <w:t xml:space="preserve">пристанищната и техническата инфраструктура на пристанище за обществен транспорт Русе, попадат в трети пояс на СОЗ на водовземане от подземни води учредена със Заповед № СОЗ-220/21.04.2009 г. на Директора на БДДР определена по реда на Наредба №3/16.10.200г за условията и реда за  проучване проектиране, утвърждаване и експлоатация на санитарно-охранителните зони около водоизточниците и съоръженията за </w:t>
            </w:r>
            <w:r w:rsidRPr="00B559BA">
              <w:rPr>
                <w:rFonts w:ascii="Times New Roman" w:hAnsi="Times New Roman" w:cs="Times New Roman"/>
                <w:color w:val="000000" w:themeColor="text1"/>
              </w:rPr>
              <w:lastRenderedPageBreak/>
              <w:t xml:space="preserve">питейно битово водоснабдяване и около водоизточниците на минерални води използвани за лечебни профилактични питейни и хигиенни нужди. Дейностите, извършвани в границите на терминала не противоречат на забраните за дейности, отнесени към трети пояс на СОЗ. Съгласно същото писмо предвижданията в проектът на Генерален план на пристанище за обществен транспорт Русе не </w:t>
            </w:r>
            <w:r w:rsidRPr="00B559BA">
              <w:rPr>
                <w:rFonts w:ascii="Times New Roman" w:hAnsi="Times New Roman" w:cs="Times New Roman"/>
                <w:color w:val="000000" w:themeColor="text1"/>
              </w:rPr>
              <w:lastRenderedPageBreak/>
              <w:t xml:space="preserve">попадат в буферната зона с радиус 1000 (хиляда) метра от </w:t>
            </w:r>
            <w:proofErr w:type="spellStart"/>
            <w:r w:rsidRPr="00B559BA">
              <w:rPr>
                <w:rFonts w:ascii="Times New Roman" w:hAnsi="Times New Roman" w:cs="Times New Roman"/>
                <w:color w:val="000000" w:themeColor="text1"/>
              </w:rPr>
              <w:t>водовземни</w:t>
            </w:r>
            <w:proofErr w:type="spellEnd"/>
            <w:r w:rsidRPr="00B559BA">
              <w:rPr>
                <w:rFonts w:ascii="Times New Roman" w:hAnsi="Times New Roman" w:cs="Times New Roman"/>
                <w:color w:val="000000" w:themeColor="text1"/>
              </w:rPr>
              <w:t xml:space="preserve"> съоръжения за питейно водоснабдяване без определени СОЗ, за които е необходимо спазване на ограничения в буферни зони, съгласно Приложение 1 към Национален каталог от мерки към ПУРБ.</w:t>
            </w:r>
          </w:p>
          <w:p w14:paraId="543076E3" w14:textId="77777777" w:rsidR="00381121" w:rsidRPr="00381121" w:rsidRDefault="00381121" w:rsidP="00381121">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bookmarkStart w:id="1" w:name="_Hlk204208179"/>
            <w:r w:rsidRPr="00381121">
              <w:rPr>
                <w:rFonts w:ascii="Times New Roman" w:hAnsi="Times New Roman" w:cs="Times New Roman"/>
                <w:color w:val="000000" w:themeColor="text1"/>
              </w:rPr>
              <w:t xml:space="preserve">В ПИ с идентификатор 63427.8.1413 са изградени шахтов кладенец за питейно-битови нужди. </w:t>
            </w:r>
            <w:proofErr w:type="spellStart"/>
            <w:r w:rsidRPr="00381121">
              <w:rPr>
                <w:rFonts w:ascii="Times New Roman" w:hAnsi="Times New Roman" w:cs="Times New Roman"/>
                <w:color w:val="000000" w:themeColor="text1"/>
              </w:rPr>
              <w:t>Водовземното</w:t>
            </w:r>
            <w:proofErr w:type="spellEnd"/>
            <w:r w:rsidRPr="00381121">
              <w:rPr>
                <w:rFonts w:ascii="Times New Roman" w:hAnsi="Times New Roman" w:cs="Times New Roman"/>
                <w:color w:val="000000" w:themeColor="text1"/>
              </w:rPr>
              <w:t xml:space="preserve"> </w:t>
            </w:r>
            <w:r w:rsidRPr="00381121">
              <w:rPr>
                <w:rFonts w:ascii="Times New Roman" w:hAnsi="Times New Roman" w:cs="Times New Roman"/>
                <w:color w:val="000000" w:themeColor="text1"/>
              </w:rPr>
              <w:lastRenderedPageBreak/>
              <w:t>съоръжение не е вписано в регистрите на Басейнова дирекция за стопански нужди и разрешителните за водовземане от подземни води на БДДР.</w:t>
            </w:r>
          </w:p>
          <w:bookmarkEnd w:id="1"/>
          <w:p w14:paraId="53506286" w14:textId="29BFFBE6" w:rsidR="00381121" w:rsidRPr="00381121" w:rsidRDefault="00D61CF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 xml:space="preserve">Дейностите в </w:t>
            </w:r>
            <w:r w:rsidR="002D537D">
              <w:rPr>
                <w:rFonts w:ascii="Times New Roman" w:hAnsi="Times New Roman" w:cs="Times New Roman"/>
                <w:color w:val="000000" w:themeColor="text1"/>
              </w:rPr>
              <w:t>обособена зона</w:t>
            </w:r>
            <w:r>
              <w:rPr>
                <w:rFonts w:ascii="Times New Roman" w:hAnsi="Times New Roman" w:cs="Times New Roman"/>
                <w:color w:val="000000" w:themeColor="text1"/>
              </w:rPr>
              <w:t xml:space="preserve"> Русе -Изток не противоречат на </w:t>
            </w:r>
            <w:r w:rsidRPr="00B559BA">
              <w:rPr>
                <w:rFonts w:ascii="Times New Roman" w:hAnsi="Times New Roman" w:cs="Times New Roman"/>
                <w:color w:val="000000" w:themeColor="text1"/>
              </w:rPr>
              <w:t>ограничения</w:t>
            </w:r>
            <w:r>
              <w:rPr>
                <w:rFonts w:ascii="Times New Roman" w:hAnsi="Times New Roman" w:cs="Times New Roman"/>
                <w:color w:val="000000" w:themeColor="text1"/>
              </w:rPr>
              <w:t>та</w:t>
            </w:r>
            <w:r w:rsidRPr="00B559BA">
              <w:rPr>
                <w:rFonts w:ascii="Times New Roman" w:hAnsi="Times New Roman" w:cs="Times New Roman"/>
                <w:color w:val="000000" w:themeColor="text1"/>
              </w:rPr>
              <w:t xml:space="preserve"> в буферни зони, съгласно Приложение 1 към Национален каталог от мерки към ПУРБ.</w:t>
            </w:r>
          </w:p>
          <w:p w14:paraId="02066E03" w14:textId="77777777" w:rsidR="00B559BA" w:rsidRDefault="00B559BA"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Информацията е ревизирана и допълнена, както е посочено и по-горе.</w:t>
            </w:r>
          </w:p>
          <w:p w14:paraId="4BF7CB07" w14:textId="77777777" w:rsidR="006E78CD" w:rsidRDefault="006E78CD"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BBCF9E" w14:textId="77777777" w:rsidR="006E78CD" w:rsidRDefault="006E78CD"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18BC99" w14:textId="77777777" w:rsidR="006E78CD" w:rsidRDefault="006E78CD"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FD573CE" w14:textId="77777777" w:rsidR="006E78CD" w:rsidRDefault="006E78CD"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B46AC56" w14:textId="77777777" w:rsidR="006E78CD" w:rsidRDefault="006E78CD"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Направена е съответната корекция в т. 4 от ДЕО.</w:t>
            </w:r>
          </w:p>
          <w:p w14:paraId="2EA646AF" w14:textId="77777777" w:rsidR="006B6B77" w:rsidRDefault="006B6B77"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0CBE325" w14:textId="77777777" w:rsidR="006B6B77" w:rsidRDefault="006B6B77"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6AFD234" w14:textId="1DB0EDD1" w:rsidR="006B6B77" w:rsidRDefault="006B6B77"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Заложени</w:t>
            </w:r>
            <w:r w:rsidR="00281FA4">
              <w:rPr>
                <w:rFonts w:ascii="Times New Roman" w:hAnsi="Times New Roman" w:cs="Times New Roman"/>
              </w:rPr>
              <w:t xml:space="preserve"> са съответните мерки, като </w:t>
            </w:r>
            <w:r>
              <w:rPr>
                <w:rFonts w:ascii="Times New Roman" w:hAnsi="Times New Roman" w:cs="Times New Roman"/>
              </w:rPr>
              <w:t>те са съобразени със заключенията от извършената оценка на очакваните въздействия върху здравно-хигиенните аспекти на средата – живота и здравето на населението и работниците.</w:t>
            </w:r>
          </w:p>
          <w:p w14:paraId="6871175A" w14:textId="0C18933A" w:rsidR="006B6B77" w:rsidRPr="00C422C8" w:rsidRDefault="00281FA4"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Виж т. 6.9.2.</w:t>
            </w:r>
          </w:p>
        </w:tc>
      </w:tr>
      <w:tr w:rsidR="00872585" w:rsidRPr="00C422C8" w14:paraId="4CA33FCB"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19F4BDBF" w14:textId="7099FACA"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17</w:t>
            </w:r>
          </w:p>
        </w:tc>
        <w:tc>
          <w:tcPr>
            <w:tcW w:w="2127" w:type="dxa"/>
          </w:tcPr>
          <w:p w14:paraId="60122CED" w14:textId="1DF5A463"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„Водоснабдяване и канализация-</w:t>
            </w:r>
            <w:proofErr w:type="spellStart"/>
            <w:r w:rsidRPr="00C422C8">
              <w:rPr>
                <w:rFonts w:ascii="Times New Roman" w:hAnsi="Times New Roman" w:cs="Times New Roman"/>
              </w:rPr>
              <w:t>Йовковци</w:t>
            </w:r>
            <w:proofErr w:type="spellEnd"/>
            <w:r w:rsidRPr="00C422C8">
              <w:rPr>
                <w:rFonts w:ascii="Times New Roman" w:hAnsi="Times New Roman" w:cs="Times New Roman"/>
              </w:rPr>
              <w:t>“ ООД</w:t>
            </w:r>
          </w:p>
        </w:tc>
        <w:tc>
          <w:tcPr>
            <w:tcW w:w="2275" w:type="dxa"/>
          </w:tcPr>
          <w:p w14:paraId="34527284" w14:textId="248A1F7A"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1-8010/29.05.2025г.</w:t>
            </w:r>
          </w:p>
        </w:tc>
        <w:tc>
          <w:tcPr>
            <w:tcW w:w="6831" w:type="dxa"/>
          </w:tcPr>
          <w:p w14:paraId="0425D9CC"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Доклада на ЕО „Пристанищна инфраструктура“ е за изготвяне на териториалният обхват на Генералния план на пристанище за обществен транспорт Русе и обхваща следните пристанищни терминали с прилежащата акватория: 6 (шест) многоцелеви терминала - Сомовит, Свищов, Русе-запад, „Пристанищен терминал Русе-изток - 1“, „Пристанищен терминал Русе-изток - 2“ и Тутракан.</w:t>
            </w:r>
          </w:p>
          <w:p w14:paraId="3B212021"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Пристанищните терминали попадат на територията на четири области: Силистра. Русе, Велико Търново и Плевен.</w:t>
            </w:r>
          </w:p>
          <w:p w14:paraId="00DA7499" w14:textId="51AB5C31"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Обект на разглеждане от страна на „ВиК </w:t>
            </w:r>
            <w:proofErr w:type="spellStart"/>
            <w:r w:rsidRPr="00C422C8">
              <w:rPr>
                <w:rFonts w:ascii="Times New Roman" w:hAnsi="Times New Roman" w:cs="Times New Roman"/>
              </w:rPr>
              <w:t>Йовковци</w:t>
            </w:r>
            <w:proofErr w:type="spellEnd"/>
            <w:r w:rsidRPr="00C422C8">
              <w:rPr>
                <w:rFonts w:ascii="Times New Roman" w:hAnsi="Times New Roman" w:cs="Times New Roman"/>
              </w:rPr>
              <w:t>“ ООД е пристанищен терминал Свищов, област Велико Търново.</w:t>
            </w:r>
          </w:p>
          <w:p w14:paraId="57B7C68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1.1.2.1 Пристанищна територия от ДЕО, са посочени 6 поземлени имота, които обхващат територията на пристанищен терминал Свищов. В дадените имоти има изградени следните съоръжения:</w:t>
            </w:r>
          </w:p>
          <w:p w14:paraId="40491F89"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В ПИ №65766.501.158 има съществуващ довеждащ водопровод /РЕ Ф125 мм/ за ПСОВ, в най - западната част на имота преминава отводнителен канал /бетон Ф2000 мм/ на ПСОВ и 3 броя </w:t>
            </w:r>
            <w:proofErr w:type="spellStart"/>
            <w:r w:rsidRPr="00C422C8">
              <w:rPr>
                <w:rFonts w:ascii="Times New Roman" w:hAnsi="Times New Roman" w:cs="Times New Roman"/>
              </w:rPr>
              <w:t>дъждопреливни</w:t>
            </w:r>
            <w:proofErr w:type="spellEnd"/>
            <w:r w:rsidRPr="00C422C8">
              <w:rPr>
                <w:rFonts w:ascii="Times New Roman" w:hAnsi="Times New Roman" w:cs="Times New Roman"/>
              </w:rPr>
              <w:t xml:space="preserve"> канали с диаметър Ф2000 мм, Ф800 мм и Ф400 мм;</w:t>
            </w:r>
          </w:p>
          <w:p w14:paraId="504BA9E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 xml:space="preserve">В ПИ №65766.501.26 има съществуващ отводнителен канал, който отвежда водите </w:t>
            </w:r>
            <w:proofErr w:type="spellStart"/>
            <w:r w:rsidRPr="00C422C8">
              <w:rPr>
                <w:rFonts w:ascii="Times New Roman" w:hAnsi="Times New Roman" w:cs="Times New Roman"/>
              </w:rPr>
              <w:t>заустени</w:t>
            </w:r>
            <w:proofErr w:type="spellEnd"/>
            <w:r w:rsidRPr="00C422C8">
              <w:rPr>
                <w:rFonts w:ascii="Times New Roman" w:hAnsi="Times New Roman" w:cs="Times New Roman"/>
              </w:rPr>
              <w:t xml:space="preserve"> от ПСОВ и води от </w:t>
            </w:r>
            <w:proofErr w:type="spellStart"/>
            <w:r w:rsidRPr="00C422C8">
              <w:rPr>
                <w:rFonts w:ascii="Times New Roman" w:hAnsi="Times New Roman" w:cs="Times New Roman"/>
              </w:rPr>
              <w:t>дъждопреливника</w:t>
            </w:r>
            <w:proofErr w:type="spellEnd"/>
            <w:r w:rsidRPr="00C422C8">
              <w:rPr>
                <w:rFonts w:ascii="Times New Roman" w:hAnsi="Times New Roman" w:cs="Times New Roman"/>
              </w:rPr>
              <w:t>;</w:t>
            </w:r>
          </w:p>
          <w:p w14:paraId="621E1104"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w:t>
            </w:r>
            <w:r w:rsidRPr="00C422C8">
              <w:rPr>
                <w:rFonts w:ascii="Times New Roman" w:hAnsi="Times New Roman" w:cs="Times New Roman"/>
              </w:rPr>
              <w:tab/>
              <w:t xml:space="preserve">В ПИ №65766.703.67 има съществуващ уличен водопровод за ПСОВ и преминаващ </w:t>
            </w:r>
            <w:proofErr w:type="spellStart"/>
            <w:r w:rsidRPr="00C422C8">
              <w:rPr>
                <w:rFonts w:ascii="Times New Roman" w:hAnsi="Times New Roman" w:cs="Times New Roman"/>
              </w:rPr>
              <w:t>дъждопреливен</w:t>
            </w:r>
            <w:proofErr w:type="spellEnd"/>
            <w:r w:rsidRPr="00C422C8">
              <w:rPr>
                <w:rFonts w:ascii="Times New Roman" w:hAnsi="Times New Roman" w:cs="Times New Roman"/>
              </w:rPr>
              <w:t xml:space="preserve"> канал от имот 65766.501.158 с диаметър Ф800 мм</w:t>
            </w:r>
          </w:p>
          <w:p w14:paraId="578A5518"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В ПИ №65766.703.73 има съществуващ площадков водопровод след водомерна шахта /етернитови тръби с Ф80/</w:t>
            </w:r>
          </w:p>
          <w:p w14:paraId="70EF6ED4"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Пристанището разполага с 8 корабни места, открити и закрити складове.</w:t>
            </w:r>
          </w:p>
          <w:p w14:paraId="2C7BB78C"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1.1.3.1 от ДЕО за пристанищен терминал Свищов е посочено следното:</w:t>
            </w:r>
          </w:p>
          <w:p w14:paraId="213D4B81"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За водоснабдяването на пристанищен терминал Свищов е посочено, че е изграден водопровод за корабно място 6 с 2 броя водомерни шахти за захранване на кораби и противопожарен хидрант. За корабно място 7 е изграден - противопожарен хидрант Ф80. а за корабно място 8 има изградени два противопожарни хидранта Ф80. За корабно място 7 и 8 захранването с вода е от самостоятелен водопровод. Захранването е от самостоятелен водопровод.</w:t>
            </w:r>
          </w:p>
          <w:p w14:paraId="47865EF1"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От така представената информация, не става ясно, водопроводната мрежа дали е ново изградена, съществуваща или е реконструирана.</w:t>
            </w:r>
          </w:p>
          <w:p w14:paraId="08F51D8B"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За канализацията на пристанищен терминал Свищов е посочено, че има изградени канализационни шахти на корабни места 3 и 4 и на корабно място 5 има изградени две канализационни шахти за отвеждане на повърхностните води, които се отвеждат за пречистване в изградена локална пречиствателна станция за нуждите на пристанищен терминал Свищов и се заустват в р. Дунав.</w:t>
            </w:r>
          </w:p>
          <w:p w14:paraId="3E7B16BE"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Не е упоменато в ДЕО има ли канализационна система, пречиствателно съоръжение за битово-фекални води и къде се зауства.</w:t>
            </w:r>
          </w:p>
          <w:p w14:paraId="59FFF370" w14:textId="1324482D"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Предвид гореизложеното, информацията да бъде допълнена в Доклад за ЕО на „Проект на генерален план на пристанище за обществен транспорт Русе“.</w:t>
            </w:r>
          </w:p>
        </w:tc>
        <w:tc>
          <w:tcPr>
            <w:tcW w:w="2191" w:type="dxa"/>
          </w:tcPr>
          <w:p w14:paraId="7477C624"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717FF549"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E047849"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20FA936A"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660F9E7"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29F34A2A"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A97ADDD"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26D2CA72"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32E5AC65"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75BECE2E"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5A95177"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5068F0C"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6E3A9C7"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318283D4"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EDEFD10"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1B3F9B0"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7431720"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BC601F2"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609A740"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106332EF"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16113DAD"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453A83F"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2EE8FFF"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271F6AE1"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F2A585B"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8084F3A"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0FFA2E1"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0D658A3"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D41C675"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C6D7003"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C05C1DA"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F8CF498"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31ABD98"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2C123DC"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71C5DD1"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6205FDA"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22929691"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5AB8A619"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4F7AAFF5"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620C7309"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097ADC2B" w14:textId="77777777" w:rsidR="00281FA4" w:rsidRDefault="00281FA4"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highlight w:val="green"/>
              </w:rPr>
            </w:pPr>
          </w:p>
          <w:p w14:paraId="31F94FAF" w14:textId="495D1418"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D3B2C">
              <w:rPr>
                <w:rFonts w:ascii="Times New Roman" w:hAnsi="Times New Roman" w:cs="Times New Roman"/>
                <w:color w:val="000000" w:themeColor="text1"/>
              </w:rPr>
              <w:t>Предложението е отразено в</w:t>
            </w:r>
            <w:r w:rsidR="00557D49" w:rsidRPr="003D3B2C">
              <w:rPr>
                <w:rFonts w:ascii="Times New Roman" w:hAnsi="Times New Roman" w:cs="Times New Roman"/>
                <w:color w:val="000000" w:themeColor="text1"/>
              </w:rPr>
              <w:t xml:space="preserve"> точка 1.1.3.1</w:t>
            </w:r>
          </w:p>
          <w:p w14:paraId="4472C91C" w14:textId="77777777" w:rsidR="00872585"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2E7AC67"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58555D5A"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29B201F"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189B7DAF"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22C9FF59"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08DDF8CF" w14:textId="77777777" w:rsidR="003D3B2C"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42476960" w14:textId="77777777" w:rsidR="003D3B2C" w:rsidRPr="00C422C8" w:rsidRDefault="003D3B2C" w:rsidP="003D3B2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3D3B2C">
              <w:rPr>
                <w:rFonts w:ascii="Times New Roman" w:hAnsi="Times New Roman" w:cs="Times New Roman"/>
                <w:color w:val="000000" w:themeColor="text1"/>
              </w:rPr>
              <w:lastRenderedPageBreak/>
              <w:t>Предложението е отразено в точка 1.1.3.1</w:t>
            </w:r>
          </w:p>
          <w:p w14:paraId="5450FEAF" w14:textId="77777777" w:rsidR="003D3B2C" w:rsidRPr="00C422C8" w:rsidRDefault="003D3B2C"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rPr>
            </w:pPr>
          </w:p>
          <w:p w14:paraId="4B2B0673"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72585" w:rsidRPr="00C422C8" w14:paraId="5CA6DF84"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2FAC37D8" w14:textId="018B12F0"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18</w:t>
            </w:r>
          </w:p>
        </w:tc>
        <w:tc>
          <w:tcPr>
            <w:tcW w:w="2127" w:type="dxa"/>
          </w:tcPr>
          <w:p w14:paraId="28F666C5" w14:textId="5DEE0BCE"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Министерство на регионалното развитие и благоустройството</w:t>
            </w:r>
          </w:p>
        </w:tc>
        <w:tc>
          <w:tcPr>
            <w:tcW w:w="2275" w:type="dxa"/>
          </w:tcPr>
          <w:p w14:paraId="0FD16DB5" w14:textId="7D8AE46B"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90-05-384(11)/ 09.06.2025</w:t>
            </w:r>
          </w:p>
        </w:tc>
        <w:tc>
          <w:tcPr>
            <w:tcW w:w="6831" w:type="dxa"/>
          </w:tcPr>
          <w:p w14:paraId="4E3C8888"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 писмо наш изх. № 90-05-384(4)/07.01.2025 г. е представено становище на МРРБ във връзка с провеждане на консултации по задание за определяне на обхвата и съдържанието на ДЕО на „Проект на Генерален план на пристанище за обществен транспорт Русе“.</w:t>
            </w:r>
          </w:p>
          <w:p w14:paraId="034EB109"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След преглед на публикуваната на сайта на Държавно предприятие „Пристанищна инфраструктура“ документация за „Проект на генерален план на пристанище Русе“ и „ДЕО на генерален план на пристанище Русе“, Ви предоставям следното становище:</w:t>
            </w:r>
          </w:p>
          <w:p w14:paraId="7CEA61C2" w14:textId="27E27469"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u w:val="single"/>
              </w:rPr>
            </w:pPr>
            <w:r w:rsidRPr="00C422C8">
              <w:rPr>
                <w:rFonts w:ascii="Times New Roman" w:hAnsi="Times New Roman" w:cs="Times New Roman"/>
                <w:b/>
                <w:bCs/>
                <w:u w:val="single"/>
              </w:rPr>
              <w:t>I. По отношение на геозащитата и свлачищата:</w:t>
            </w:r>
          </w:p>
          <w:p w14:paraId="36066025" w14:textId="745B69C4"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 писма изх. № 90-05-384(4)/07.01.2025 г. и № 90-05-384(6)/06.02.2025 г. Ви е представена информация и изходни данни по отношение на геозащитата и свлачищата. придружена с данни за инженерно-геоложките условия, геоложкия риск и геоложките опасности от ерозия, </w:t>
            </w:r>
            <w:proofErr w:type="spellStart"/>
            <w:r w:rsidRPr="00C422C8">
              <w:rPr>
                <w:rFonts w:ascii="Times New Roman" w:hAnsi="Times New Roman" w:cs="Times New Roman"/>
              </w:rPr>
              <w:t>срутища</w:t>
            </w:r>
            <w:proofErr w:type="spellEnd"/>
            <w:r w:rsidRPr="00C422C8">
              <w:rPr>
                <w:rFonts w:ascii="Times New Roman" w:hAnsi="Times New Roman" w:cs="Times New Roman"/>
              </w:rPr>
              <w:t>, свлачища и др. в „*</w:t>
            </w:r>
            <w:proofErr w:type="spellStart"/>
            <w:r w:rsidRPr="00C422C8">
              <w:rPr>
                <w:rFonts w:ascii="Times New Roman" w:hAnsi="Times New Roman" w:cs="Times New Roman"/>
              </w:rPr>
              <w:t>shp</w:t>
            </w:r>
            <w:proofErr w:type="spellEnd"/>
            <w:r w:rsidRPr="00C422C8">
              <w:rPr>
                <w:rFonts w:ascii="Times New Roman" w:hAnsi="Times New Roman" w:cs="Times New Roman"/>
              </w:rPr>
              <w:t xml:space="preserve">" формат, както и списък - извадка от Регистъра на </w:t>
            </w:r>
            <w:proofErr w:type="spellStart"/>
            <w:r w:rsidRPr="00C422C8">
              <w:rPr>
                <w:rFonts w:ascii="Times New Roman" w:hAnsi="Times New Roman" w:cs="Times New Roman"/>
              </w:rPr>
              <w:t>свлачищните</w:t>
            </w:r>
            <w:proofErr w:type="spellEnd"/>
            <w:r w:rsidRPr="00C422C8">
              <w:rPr>
                <w:rFonts w:ascii="Times New Roman" w:hAnsi="Times New Roman" w:cs="Times New Roman"/>
              </w:rPr>
              <w:t xml:space="preserve"> райони на територията на Република България към 31.12.2024 г. с данни за установените в обхвата на проекта за Генерален план на пристанище за обществен транспорт Русе </w:t>
            </w:r>
            <w:r w:rsidRPr="00C422C8">
              <w:rPr>
                <w:rFonts w:ascii="Times New Roman" w:hAnsi="Times New Roman" w:cs="Times New Roman"/>
              </w:rPr>
              <w:lastRenderedPageBreak/>
              <w:t>дванадесет свлачища и становище изх. № РД-09-160/19.12.2024 г. на „Геозащита Плевен“ ЕООД.</w:t>
            </w:r>
          </w:p>
          <w:p w14:paraId="2DA33253"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Генералният план на пристанище за обществен транспорт Русе обхваща землищата на гр. Силистра, с. Айдемир, община Силистра, гр. Русе, гр. Тутракан и гр. Свищов, гр. Никопол и с. Сомовит, община Гулянци. В Доклада за екологична оценка на проекта на Генерален план на пристанище за обществен транспорт Русе е отразена информацията по отношение на регистрираните в обхвата на проекта </w:t>
            </w:r>
            <w:proofErr w:type="spellStart"/>
            <w:r w:rsidRPr="00C422C8">
              <w:rPr>
                <w:rFonts w:ascii="Times New Roman" w:hAnsi="Times New Roman" w:cs="Times New Roman"/>
              </w:rPr>
              <w:t>свлачищни</w:t>
            </w:r>
            <w:proofErr w:type="spellEnd"/>
            <w:r w:rsidRPr="00C422C8">
              <w:rPr>
                <w:rFonts w:ascii="Times New Roman" w:hAnsi="Times New Roman" w:cs="Times New Roman"/>
              </w:rPr>
              <w:t xml:space="preserve"> райони.</w:t>
            </w:r>
          </w:p>
          <w:p w14:paraId="68CE6D8C"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Геоложките характеристики, както и информация за свлачищата са отразени в т. 2.1.3. Геоложка среда от Доклада за екологична оценка. Свлачищата са отразени на фиг. 74 - 79 (стр. 158-163) в М 1: 50 000, както и в Приложение № 2 „Геоложки карти“ към доклада (фиг. 1 - фиг. 6) върху геоложката карта на България в М 1:100 000.</w:t>
            </w:r>
          </w:p>
          <w:p w14:paraId="524D7411"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Таблица 31 „Данни за свлачищата в районите на пристанищните терминали“ е представена извадка от Регистъра на </w:t>
            </w:r>
            <w:proofErr w:type="spellStart"/>
            <w:r w:rsidRPr="00C422C8">
              <w:rPr>
                <w:rFonts w:ascii="Times New Roman" w:hAnsi="Times New Roman" w:cs="Times New Roman"/>
              </w:rPr>
              <w:t>свлачищните</w:t>
            </w:r>
            <w:proofErr w:type="spellEnd"/>
            <w:r w:rsidRPr="00C422C8">
              <w:rPr>
                <w:rFonts w:ascii="Times New Roman" w:hAnsi="Times New Roman" w:cs="Times New Roman"/>
              </w:rPr>
              <w:t xml:space="preserve"> райони към 31.12.2024 г. в обхвата на проекта с данни за състоянието, възрастта и др. данни за свлачищата.</w:t>
            </w:r>
          </w:p>
          <w:p w14:paraId="138AFE20" w14:textId="362AEE32"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 Таблица 60 и Таблица 61 на Доклада за екологична оценка са посочени „Мерки за опазване на околната среда, предвидено да се отразят в окончателния вариант на „Проект на генерален план на пристанище за обществен транспорт Русе“ и „Мерки за опазване на околната среда, предвидено да бъдат прилагани при реализирането на „Проект на генерален план на пристанище за обществен транспорт Русе“. В посочените таблици за компонент „Геоложка среда“ са формулирани следните мерки: „В участъка </w:t>
            </w:r>
            <w:r w:rsidRPr="00C422C8">
              <w:rPr>
                <w:rFonts w:ascii="Times New Roman" w:hAnsi="Times New Roman" w:cs="Times New Roman"/>
              </w:rPr>
              <w:lastRenderedPageBreak/>
              <w:t xml:space="preserve">на регистрираните свлачища при необходимост да се извършат подробни инженерно-геоложки и хидрогеоложки проучвания.“ (мярка от табл. 60) и „При необходимост в участъците засегнати от свлачища да се извършат инженерно-геоложки проучвания.“ (мярка от табл. 61). Следва да се коригира, предвид изискванията на чл. 96, ал. 3 и ал. 4 и чл. 103, ал. 6 от ЗУТ, съгласно които в участъците с регистрирани </w:t>
            </w:r>
            <w:proofErr w:type="spellStart"/>
            <w:r w:rsidRPr="00C422C8">
              <w:rPr>
                <w:rFonts w:ascii="Times New Roman" w:hAnsi="Times New Roman" w:cs="Times New Roman"/>
              </w:rPr>
              <w:t>свлачищни</w:t>
            </w:r>
            <w:proofErr w:type="spellEnd"/>
            <w:r w:rsidRPr="00C422C8">
              <w:rPr>
                <w:rFonts w:ascii="Times New Roman" w:hAnsi="Times New Roman" w:cs="Times New Roman"/>
              </w:rPr>
              <w:t xml:space="preserve"> райони задължително се изработват подробни и конкретни инженерно-геоложки и хидрогеоложки проучвания с доказване на общата устойчивост на територията и пригодността й за строителство.</w:t>
            </w:r>
          </w:p>
          <w:p w14:paraId="5643D955"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Допълнително е необходимо да се включат изисквания за терминалите, попадащи в регистрирани </w:t>
            </w:r>
            <w:proofErr w:type="spellStart"/>
            <w:r w:rsidRPr="00C422C8">
              <w:rPr>
                <w:rFonts w:ascii="Times New Roman" w:hAnsi="Times New Roman" w:cs="Times New Roman"/>
              </w:rPr>
              <w:t>свлачищни</w:t>
            </w:r>
            <w:proofErr w:type="spellEnd"/>
            <w:r w:rsidRPr="00C422C8">
              <w:rPr>
                <w:rFonts w:ascii="Times New Roman" w:hAnsi="Times New Roman" w:cs="Times New Roman"/>
              </w:rPr>
              <w:t xml:space="preserve"> райони, регистрирани по реда на чл. 95, ал. 2 от ЗУТ за произнасяне от министъра на регионалното развитие и благоустройството с предварителни съгласия, издадени по реда на чл. 96, ал. 3 или ал. 4 от ЗУТ, преди издаване на разрешенията за строеж.</w:t>
            </w:r>
          </w:p>
          <w:p w14:paraId="03F570B4" w14:textId="2800D520"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Физико-геоложки явления и процеси “ на т. 2.1.3. „Геоложка среда " от Доклада за екологична оценка не са посочени всички геоложки рискове, проявени в районите на инвестиционното намерение, за които е предоставена информация с наше писмо изх. № 90- 05-384(6)/06.02.2025 г., и същите не са изобразени на графичен материал.</w:t>
            </w:r>
          </w:p>
          <w:p w14:paraId="3D9E0A23" w14:textId="12D04938"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Към приложената документация не е представено становище на „Геозащита Плевен“ ЕООД.</w:t>
            </w:r>
          </w:p>
          <w:p w14:paraId="72F7B6CE"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Проектите за ПУП-ПРЗ следва да бъдат придружени от инженерно-геоложки и хидрогеоложки проучвания за общата </w:t>
            </w:r>
            <w:r w:rsidRPr="00C422C8">
              <w:rPr>
                <w:rFonts w:ascii="Times New Roman" w:hAnsi="Times New Roman" w:cs="Times New Roman"/>
              </w:rPr>
              <w:lastRenderedPageBreak/>
              <w:t>устойчивост на територията и пригодността й за строителство, съгласно изискванията на чл. 103. ал. 6 от ЗУТ.</w:t>
            </w:r>
          </w:p>
          <w:p w14:paraId="242CF1BA" w14:textId="2DFD368F"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u w:val="single"/>
              </w:rPr>
            </w:pPr>
            <w:r w:rsidRPr="00C422C8">
              <w:rPr>
                <w:rFonts w:ascii="Times New Roman" w:hAnsi="Times New Roman" w:cs="Times New Roman"/>
                <w:b/>
                <w:bCs/>
                <w:u w:val="single"/>
              </w:rPr>
              <w:t>II. По отношение на водоснабдяването и канализацията:</w:t>
            </w:r>
          </w:p>
          <w:p w14:paraId="6B422DD5"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Съгласно Закона за водите водоснабдителната и канализационна (ВиК) инфраструктура, с която се предоставят обществени ВиК услуги е публична собственост на държавата и общините. Стопанисването, поддържането и експлоатацията на ВиК системите и съоръженията, както и предоставянето на ВиК услуги на потребителите в обособената територия се извършват от ВиК оператор, въз основа на договор, сключен със съответната асоциация по водоснабдяване и канализация по реда на същия закон.</w:t>
            </w:r>
          </w:p>
          <w:p w14:paraId="64E5263C"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Предвид предоставените от регионалните ВиК оператори становища, докладът следва да се допълни с информация относно засягането на буферната зона с радиус 1000 (хиляда) метра от </w:t>
            </w:r>
            <w:proofErr w:type="spellStart"/>
            <w:r w:rsidRPr="00C422C8">
              <w:rPr>
                <w:rFonts w:ascii="Times New Roman" w:hAnsi="Times New Roman" w:cs="Times New Roman"/>
              </w:rPr>
              <w:t>водовземни</w:t>
            </w:r>
            <w:proofErr w:type="spellEnd"/>
            <w:r w:rsidRPr="00C422C8">
              <w:rPr>
                <w:rFonts w:ascii="Times New Roman" w:hAnsi="Times New Roman" w:cs="Times New Roman"/>
              </w:rPr>
              <w:t xml:space="preserve"> съоръжения за питейно водоснабдяване без определени санитарно охранителни зони (СОЗ) - за разположения в поземлен имот с идентификатор </w:t>
            </w:r>
            <w:bookmarkStart w:id="2" w:name="_Hlk204208067"/>
            <w:r w:rsidRPr="00C422C8">
              <w:rPr>
                <w:rFonts w:ascii="Times New Roman" w:hAnsi="Times New Roman" w:cs="Times New Roman"/>
              </w:rPr>
              <w:t xml:space="preserve">63427.8.1413 </w:t>
            </w:r>
            <w:bookmarkEnd w:id="2"/>
            <w:r w:rsidRPr="00C422C8">
              <w:rPr>
                <w:rFonts w:ascii="Times New Roman" w:hAnsi="Times New Roman" w:cs="Times New Roman"/>
              </w:rPr>
              <w:t>шахтов кладенец за питейна вода, както и с възможността за заустване на битовите отпадъчни води от площадката на Пристанищен комплекс Русе ЕАД в обществената канализация, обслужвана от „Водоснабдяване и канализация“ ООД. гр. Русе.</w:t>
            </w:r>
          </w:p>
          <w:p w14:paraId="45F8AE54" w14:textId="6426C46F"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За Пристанищен терминал Русе център, Пристанищен терминал Силистра, Пристанищен терминал Тутракан, Пристанищен терминал Сомовит да се добави информация по отношение на бъдещото осигуряване на отвеждането на битовите отпадъчни води, а за Пристанищен терминал Русе запад - за </w:t>
            </w:r>
            <w:r w:rsidRPr="00C422C8">
              <w:rPr>
                <w:rFonts w:ascii="Times New Roman" w:hAnsi="Times New Roman" w:cs="Times New Roman"/>
              </w:rPr>
              <w:lastRenderedPageBreak/>
              <w:t>водоснабдяването с питейна вода и отвеждането на битовите отпадъчни води, ако е приложимо.</w:t>
            </w:r>
          </w:p>
          <w:p w14:paraId="6BBC1B3B"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Отбелязваме, че присъединяването към публичните водоснабдителни и канализационни мрежи се извършва по реда на Наредба № 4 от 14 септември 2004 г. за условията и реда за присъединяване на потребителите и за ползване на водоснабдителните и канализационните системи.</w:t>
            </w:r>
          </w:p>
          <w:p w14:paraId="5944DD44" w14:textId="5F83DCA6"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u w:val="single"/>
              </w:rPr>
            </w:pPr>
            <w:r w:rsidRPr="00C422C8">
              <w:rPr>
                <w:rFonts w:ascii="Times New Roman" w:hAnsi="Times New Roman" w:cs="Times New Roman"/>
                <w:b/>
                <w:bCs/>
                <w:u w:val="single"/>
              </w:rPr>
              <w:t>III. По отношение на устройство на територията</w:t>
            </w:r>
          </w:p>
          <w:p w14:paraId="41E95185"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Представеният ДЕО на „Проект на Генерален план на пристанище за обществен транспорт Русе“ е изготвен в съответствие с изискванията на Наредба за условията и реда за извършване на екологична оценка на планове и програми, в сила от 01.07.2004 г., приета с Постановление на Министерски съвет № 139/24.06.2004 г.</w:t>
            </w:r>
          </w:p>
          <w:p w14:paraId="2EE930A9" w14:textId="50FEAE08"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Доклада е констатирано, че няма компоненти на околната среда, за които се очакват значителни отрицателни въздействия по време на строителството и при експлоатацията на комплекса. За предотвратяване на негативни въздействия, очаквани при реализирането на Генералния план са предложени препоръки и мерки за намаляване на въздействието на евентуалните екологични проблеми при реализацията му, осигуряващи устойчивото развитие на района в обхвата на Генералния план на пристанище за обществен транспорт Русе.</w:t>
            </w:r>
          </w:p>
          <w:p w14:paraId="706A7FEF" w14:textId="6427413D"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Подробните устройствени планове за отделните пристанища, включени в обхвата на проекта за „Генерален план на пристанище за обществен транспорт Русе“, съответстват на предназначението на територията според съответния Общ </w:t>
            </w:r>
            <w:r w:rsidRPr="00C422C8">
              <w:rPr>
                <w:rFonts w:ascii="Times New Roman" w:hAnsi="Times New Roman" w:cs="Times New Roman"/>
              </w:rPr>
              <w:lastRenderedPageBreak/>
              <w:t>устройствен план за всяка община по отношение на устройствените показатели за застрояване - характер на застрояване (височина), плътност на застрояване, интензивност на застрояване и плътност на озеленяване.</w:t>
            </w:r>
          </w:p>
        </w:tc>
        <w:tc>
          <w:tcPr>
            <w:tcW w:w="2191" w:type="dxa"/>
          </w:tcPr>
          <w:p w14:paraId="4F8732F9"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5909B33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3015C63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2F302D4"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5DCAC18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1A9E53DC"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7D4BAF71"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36831B3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496BCC7"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A5E329B" w14:textId="794B802C"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p>
          <w:p w14:paraId="457432AA" w14:textId="219A39D4" w:rsidR="00F0524C" w:rsidRPr="00C422C8"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Pr>
                <w:rFonts w:ascii="Times New Roman" w:hAnsi="Times New Roman" w:cs="Times New Roman"/>
                <w:color w:val="000000" w:themeColor="text1"/>
              </w:rPr>
              <w:t>Поставените изисквания са отразени в съответните раздели на ДЕО</w:t>
            </w:r>
            <w:r w:rsidR="00F144E2">
              <w:rPr>
                <w:rFonts w:ascii="Times New Roman" w:hAnsi="Times New Roman" w:cs="Times New Roman"/>
                <w:color w:val="000000" w:themeColor="text1"/>
              </w:rPr>
              <w:t xml:space="preserve"> – виж т. 2.1.3 и т. 7</w:t>
            </w:r>
          </w:p>
          <w:p w14:paraId="4BBBEE43"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21B4A6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8259D8B"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C9DBE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E707B58"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070FB6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9CE17A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314C1EC"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80434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D086C4D"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99CBA07"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5B4E46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05C341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E19E5C7"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C911B4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7ED0C5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266E3D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DCF1C1C"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784087A"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8F5C720"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2F5AD68"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1B962A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4C3D3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5D03041"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AF7201F"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94CAA6A"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584C9BC"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71371E7"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BDD3983"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FD8F13"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6C2E6B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B8FA929"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BF544BF"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6CD58A"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7677778"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093F73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503579"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CB230D1"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D0F49F6"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4FF6B0"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240084"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BC7E80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440795C"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9FAE6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9FF634A"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E312E44"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28CB1C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9426411"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D2883D9"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468B32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C3683A5"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2E9D57E"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4D0278D"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04AA63"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90A867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1EEB257"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AC9B61"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BECF40B"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F805A28"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F515149" w14:textId="77777777" w:rsidR="000C6D06" w:rsidRDefault="000C6D06"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8768D81" w14:textId="77777777" w:rsidR="000C6D06" w:rsidRDefault="000C6D06"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5295925" w14:textId="77777777" w:rsidR="00F0524C" w:rsidRPr="00C422C8" w:rsidRDefault="00F0524C" w:rsidP="00F0524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rPr>
            </w:pPr>
            <w:r w:rsidRPr="000C6D06">
              <w:rPr>
                <w:rFonts w:ascii="Times New Roman" w:hAnsi="Times New Roman" w:cs="Times New Roman"/>
                <w:color w:val="000000" w:themeColor="text1"/>
              </w:rPr>
              <w:t>Поставените изисквания са отразени в съответните раздели на ДЕО</w:t>
            </w:r>
          </w:p>
          <w:p w14:paraId="57DFF3D2" w14:textId="77777777" w:rsidR="00F0524C" w:rsidRDefault="00F0524C"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BAE318" w14:textId="77777777" w:rsidR="00381121" w:rsidRPr="00C422C8" w:rsidRDefault="00381121" w:rsidP="00381121">
            <w:pPr>
              <w:widowControl w:val="0"/>
              <w:tabs>
                <w:tab w:val="left" w:pos="0"/>
              </w:tabs>
              <w:spacing w:after="60"/>
              <w:ind w:firstLine="567"/>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872585" w:rsidRPr="00C422C8" w14:paraId="737EE23C"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4D1E0A11" w14:textId="042F5F15"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19</w:t>
            </w:r>
          </w:p>
        </w:tc>
        <w:tc>
          <w:tcPr>
            <w:tcW w:w="2127" w:type="dxa"/>
          </w:tcPr>
          <w:p w14:paraId="651501DA" w14:textId="54EEE5DF"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Община Силистра</w:t>
            </w:r>
          </w:p>
        </w:tc>
        <w:tc>
          <w:tcPr>
            <w:tcW w:w="2275" w:type="dxa"/>
          </w:tcPr>
          <w:p w14:paraId="71F4F583" w14:textId="0C866548"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ЕО-649-001/10.06.2025</w:t>
            </w:r>
          </w:p>
        </w:tc>
        <w:tc>
          <w:tcPr>
            <w:tcW w:w="6831" w:type="dxa"/>
          </w:tcPr>
          <w:p w14:paraId="6A74D186"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Община Силистра е постъпило писмо за изразяване на становище по изготвен Доклад за Екологична оценка (ЕО) по ’’Проект на генерален план на пристанище за обществен транспорт Русе“. След запознаване с него Община Силистра изразява следното становище:</w:t>
            </w:r>
          </w:p>
          <w:p w14:paraId="1E97046F"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 На територията на община Силистра в обхвата на ’’Заданието за проектиране на генерален план на обществен транспорт Русе” и изготвеното Задание за определяне на обхвата и съдържанието на Доклада за Екологична оценка (ЕО) за него е разположени пристанищен терминал Силистра състоящ се от:</w:t>
            </w:r>
          </w:p>
          <w:p w14:paraId="2291C861"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&gt;</w:t>
            </w:r>
            <w:r w:rsidRPr="00C422C8">
              <w:rPr>
                <w:rFonts w:ascii="Times New Roman" w:hAnsi="Times New Roman" w:cs="Times New Roman"/>
              </w:rPr>
              <w:tab/>
              <w:t>Фериботен терминал Силистра - територията на терминала е обособена в ПИ с идентификатор 00895.506.1 - обл. Силистра, община Силистра, с. Айдемир, Промишлена зона „Запад - гр. Силистра”, с обща площ 65 124 кв. м. Фериботен терминал Силистра разполага с 1 корабно място предназначено за обработка на Ро-Ро товари, поща и пътници.</w:t>
            </w:r>
          </w:p>
          <w:p w14:paraId="4DC0F19A"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&gt;</w:t>
            </w:r>
            <w:r w:rsidRPr="00C422C8">
              <w:rPr>
                <w:rFonts w:ascii="Times New Roman" w:hAnsi="Times New Roman" w:cs="Times New Roman"/>
              </w:rPr>
              <w:tab/>
              <w:t>Пристанищен терминал Силистра - територията на терминала е обособена в три ПИ с идентификатори: 66425.501.8986, 66425.501.8987 и 66425.500.6051 - обл. Силистра, община Силистра, гр. Силистра, ул. „Пристанищна” и ул. „Капитан Мамарчев”, с обща площ 17 778 кв. м. Пристанищен терминал Силистра разполага с 3 корабни места. Терминала е предназначен за обслужване на пътници.</w:t>
            </w:r>
          </w:p>
          <w:p w14:paraId="2FE1AA94" w14:textId="7777777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2. В доклада е разгледано наличното шумово замърсяване и неговото влияние върху населението в населените места близост до горепосочените терминали. Предвид, че до неотдавна на територията на гр. Силистра бяха регистрирани превишения на нивата на ФПЧ10 в доклада също така е направена оценка за потенциалната възможност дейността на ПТ - Силистра и ФТ - Силистра за създаване на условия за трайна зона на замърсен атмосферен въздух и допринасянето им за допълнителен риск за околната среда и човешкото здраве. Разгледани са и всички други аспекти на влияние на предвидените с Генералния план дейности върху околната среда и рисковите фактори влияещи върху здравето на населението.</w:t>
            </w:r>
          </w:p>
          <w:p w14:paraId="5D7BA351" w14:textId="7F59BF69"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На база на горепосоченото Община Силистра няма забележки към така изготвения Доклад за ЕО за "Проект на генерален план на пристанище за обществен транспорт Русе.</w:t>
            </w:r>
          </w:p>
        </w:tc>
        <w:tc>
          <w:tcPr>
            <w:tcW w:w="2191" w:type="dxa"/>
          </w:tcPr>
          <w:p w14:paraId="6B3536A9" w14:textId="7461DA8A"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Становището не съдържа забележки и предложения.</w:t>
            </w:r>
          </w:p>
        </w:tc>
      </w:tr>
      <w:tr w:rsidR="00872585" w:rsidRPr="00C422C8" w14:paraId="0C3EEC86" w14:textId="77777777" w:rsidTr="00F94B18">
        <w:tc>
          <w:tcPr>
            <w:cnfStyle w:val="001000000000" w:firstRow="0" w:lastRow="0" w:firstColumn="1" w:lastColumn="0" w:oddVBand="0" w:evenVBand="0" w:oddHBand="0" w:evenHBand="0" w:firstRowFirstColumn="0" w:firstRowLastColumn="0" w:lastRowFirstColumn="0" w:lastRowLastColumn="0"/>
            <w:tcW w:w="524" w:type="dxa"/>
          </w:tcPr>
          <w:p w14:paraId="6C1FAC53" w14:textId="6F00F699" w:rsidR="00872585" w:rsidRPr="00C422C8" w:rsidRDefault="00A62945" w:rsidP="00872585">
            <w:pPr>
              <w:rPr>
                <w:rFonts w:ascii="Times New Roman" w:hAnsi="Times New Roman" w:cs="Times New Roman"/>
              </w:rPr>
            </w:pPr>
            <w:r w:rsidRPr="00C422C8">
              <w:rPr>
                <w:rFonts w:ascii="Times New Roman" w:hAnsi="Times New Roman" w:cs="Times New Roman"/>
              </w:rPr>
              <w:t>20</w:t>
            </w:r>
          </w:p>
        </w:tc>
        <w:tc>
          <w:tcPr>
            <w:tcW w:w="2127" w:type="dxa"/>
          </w:tcPr>
          <w:p w14:paraId="49CC2238" w14:textId="4B901F70"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Изпълнителна агенция по рибарство и аквакултури</w:t>
            </w:r>
          </w:p>
        </w:tc>
        <w:tc>
          <w:tcPr>
            <w:tcW w:w="2275" w:type="dxa"/>
          </w:tcPr>
          <w:p w14:paraId="3749982F" w14:textId="432A69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12-00-250/12.06.2025</w:t>
            </w:r>
          </w:p>
        </w:tc>
        <w:tc>
          <w:tcPr>
            <w:tcW w:w="6831" w:type="dxa"/>
          </w:tcPr>
          <w:p w14:paraId="5ADD3907"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Във връзка с получено писмо в Изпълнителна агенция по рибарство и аквакултури, относно Задание за определяне на обхвата и съдържанието на доклада за ЕО на Проекта на Генерален план на пристанище за обществен транспорт Русе, Ви информирам, че след като се запознах с обхвата на горецитирания проект, съставен съгласно чл.19а от Наредбата за условията и реда за извършване на екологична оценка на планове и програми във връзка с чл. 86, </w:t>
            </w:r>
            <w:proofErr w:type="spellStart"/>
            <w:r w:rsidRPr="00C422C8">
              <w:rPr>
                <w:rFonts w:ascii="Times New Roman" w:hAnsi="Times New Roman" w:cs="Times New Roman"/>
              </w:rPr>
              <w:t>ал.З</w:t>
            </w:r>
            <w:proofErr w:type="spellEnd"/>
            <w:r w:rsidRPr="00C422C8">
              <w:rPr>
                <w:rFonts w:ascii="Times New Roman" w:hAnsi="Times New Roman" w:cs="Times New Roman"/>
              </w:rPr>
              <w:t xml:space="preserve"> от Закона за опазване на околната среда е видно, че обхватът и съдържанието на проекта на генерален план са съобразени с изискванията на Наредба № 10 от 31.03.2014 г. за обхвата и съдържанието, изработването, одобряването и изменението на генералните планове на </w:t>
            </w:r>
            <w:r w:rsidRPr="00C422C8">
              <w:rPr>
                <w:rFonts w:ascii="Times New Roman" w:hAnsi="Times New Roman" w:cs="Times New Roman"/>
              </w:rPr>
              <w:lastRenderedPageBreak/>
              <w:t>пристанищата за обществен транспорт. Териториален обхват предмет на текущата разработка, включва:</w:t>
            </w:r>
          </w:p>
          <w:p w14:paraId="73E19A8E" w14:textId="6F132832"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Русе - Запад, с оператор Държавно предприятие „Пристанищна инфраструктура“;</w:t>
            </w:r>
          </w:p>
          <w:p w14:paraId="30F331B2" w14:textId="4CF9F55B"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Русе - Център, с оператор „Пристанищен комплекс Русе“ ЕАД;</w:t>
            </w:r>
          </w:p>
          <w:p w14:paraId="7CC65A18" w14:textId="2C46932E"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Русе-Изток - 2, с оператор „Пристанищен комплекс Русе“ ЕАД;</w:t>
            </w:r>
          </w:p>
          <w:p w14:paraId="0EBAFF02" w14:textId="2A890D80"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Русе-Изток - 1, с оператор „Пристанищен комплекс Русе“ ЕАД; </w:t>
            </w:r>
          </w:p>
          <w:p w14:paraId="73A5C0AF" w14:textId="3CB78E44"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Тутракан, с оператор „Пристанищен комплекс Русе“ ЕАД;</w:t>
            </w:r>
          </w:p>
          <w:p w14:paraId="38DDF6B5" w14:textId="00863F72"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Фериботен терминал Силистра, с оператор Държавно предприятие „Пристанищна инфраструктура“;</w:t>
            </w:r>
          </w:p>
          <w:p w14:paraId="364E3E6B" w14:textId="69EB40DC"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Силистра, с оператор „Пристанищен комплекс Русе“ ЕАД;</w:t>
            </w:r>
          </w:p>
          <w:p w14:paraId="72BD5F57" w14:textId="60B30D09"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Сомовит, с концесионер „Октопод С“ ООД;</w:t>
            </w:r>
          </w:p>
          <w:p w14:paraId="65FF8FF4" w14:textId="131CFF4E"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Никопол, с концесионер „Параходство Българско речно плаване“ АД;</w:t>
            </w:r>
          </w:p>
          <w:p w14:paraId="18426D84" w14:textId="3CC6EAFA"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Пристанищен терминал Свищов, с концесионер „Драгажен флот - Петър“ АД.</w:t>
            </w:r>
          </w:p>
          <w:p w14:paraId="47702DAE" w14:textId="77777777"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С проекта са засегнати елементи от Националната екологична мрежа /НЕМ/ Територията и акваторията на пристанищни терминали Русе - Запад, Русе - Център, Русе - Изток - 1, Русе - Изток - 2, Тутракан, Силистра, Свищов и обособена зона Русе - Изток не попадат в границите на защитени територии по смисъла </w:t>
            </w:r>
            <w:r w:rsidRPr="00C422C8">
              <w:rPr>
                <w:rFonts w:ascii="Times New Roman" w:hAnsi="Times New Roman" w:cs="Times New Roman"/>
              </w:rPr>
              <w:lastRenderedPageBreak/>
              <w:t>на Закона за защитените територии (ЗЗТ), както и в границите на защитени зони по смисъла на ЗБР. Територията на фериботен терминал Силистра не попада в границите на защитена територия, но граничи със защитена зона BG0000534 „Остров Чайка“, определена по чл. 6, ал. 1, т. 1 и 2 от ЗБР за опазване на природните местообитания и дивата флора и фауна, обявена със Заповед № РД-401/26.05.2020 г. на министъра на околната среда и водите (обн., ДВ, бр. 55/2020 г.), изм. и доп. със Заповед № РД- 1067/07.11.2022 г. на министъра на околната среда и водите (обн., ДВ, бр. 90/2022 г.). Акваторията на терминала попада в границите на зоната. Територията и акваторията на пристанищен терминал Никопол попадат в защитена зона BG0000396 „</w:t>
            </w:r>
            <w:proofErr w:type="spellStart"/>
            <w:r w:rsidRPr="00C422C8">
              <w:rPr>
                <w:rFonts w:ascii="Times New Roman" w:hAnsi="Times New Roman" w:cs="Times New Roman"/>
              </w:rPr>
              <w:t>Персина</w:t>
            </w:r>
            <w:proofErr w:type="spellEnd"/>
            <w:r w:rsidRPr="00C422C8">
              <w:rPr>
                <w:rFonts w:ascii="Times New Roman" w:hAnsi="Times New Roman" w:cs="Times New Roman"/>
              </w:rPr>
              <w:t>”, определена по чл. 6, ал. 1, т. 1 и 2 от ЗБР за опазване на природните местообитания и дивата флора и фауна, обявена със Заповед № РД-339/31.03.2021 г. на министъра на околната среда и водите (обн., ДВ, бр. 54/2021 г.), изм. и доп. със Заповед № РД-103 8/03.11.2022 г. на министъра на околната среда и водите (обн., ДВ, бр. 89/2022 г.) и в защитена зона BG0002074 „Никополско плато”, определена за опазване на дивите птици по чл. 6, ал. 1, т. 3 и 4 от ЗБР, обявена със Заповед № РД-841/17.11.2008 г. на министъра на околната среда и водите (обн., ДВ, бр. 108/2008 г.), изм. и доп. със Заповед № РД-80/28.01.2013 г. на министъра на околната среда и водите (обн., ДВ, бр. 10/2013 г.) и Заповед № РД-1043/ 03.11.2022 г. Акваторията и територията на пристанищен терминал Сомовит не засягат защитени територии и защитени зони, но терминалът е разположен в близост до защитена зона BG0000181 „Река Вит".</w:t>
            </w:r>
          </w:p>
          <w:p w14:paraId="1D6014C0" w14:textId="2B00789D" w:rsidR="00872585" w:rsidRPr="00C422C8" w:rsidRDefault="00872585" w:rsidP="00872585">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Предвид гореизложеното, Изпълнителна агенция по рибарство и аквакултури съгласува без забележки предоставените материали по здание за определяне на обхвата и съдържанието на доклада за ЕО на Проекта на Генерален план на пристанище за обществен транспорт Русе.</w:t>
            </w:r>
          </w:p>
        </w:tc>
        <w:tc>
          <w:tcPr>
            <w:tcW w:w="2191" w:type="dxa"/>
          </w:tcPr>
          <w:p w14:paraId="0A08BCC8" w14:textId="33BA4581"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Становището не съдържа забележки и предложения.</w:t>
            </w:r>
          </w:p>
        </w:tc>
      </w:tr>
      <w:tr w:rsidR="00872585" w:rsidRPr="00C422C8" w14:paraId="4C992E77" w14:textId="77777777" w:rsidTr="00F94B1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24" w:type="dxa"/>
          </w:tcPr>
          <w:p w14:paraId="48028E2F" w14:textId="2FC5DDCF"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21</w:t>
            </w:r>
          </w:p>
        </w:tc>
        <w:tc>
          <w:tcPr>
            <w:tcW w:w="2127" w:type="dxa"/>
          </w:tcPr>
          <w:p w14:paraId="57FA2055" w14:textId="7162F803"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color w:val="000000"/>
              </w:rPr>
              <w:t xml:space="preserve">Национален институт за недвижимо културно наследство </w:t>
            </w:r>
          </w:p>
        </w:tc>
        <w:tc>
          <w:tcPr>
            <w:tcW w:w="2275" w:type="dxa"/>
          </w:tcPr>
          <w:p w14:paraId="7CD17B54"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rPr>
            </w:pPr>
            <w:r w:rsidRPr="00C422C8">
              <w:rPr>
                <w:rFonts w:ascii="Times New Roman" w:hAnsi="Times New Roman" w:cs="Times New Roman"/>
                <w:color w:val="000000"/>
              </w:rPr>
              <w:t>9100-48(2)/ 16.06.2025</w:t>
            </w:r>
          </w:p>
          <w:p w14:paraId="31B748ED" w14:textId="77777777" w:rsidR="00872585" w:rsidRPr="00C422C8" w:rsidRDefault="00872585"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6831" w:type="dxa"/>
          </w:tcPr>
          <w:p w14:paraId="0165C14A" w14:textId="77C88791"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След като се запознахме е изготвения „Доклад за Екологична оценка на „Проект на генерален план на пристанище за обществен транспорт Русе“ и е всички приложения и материали към него, Ви уведомяваме, че в т. 2.1.6. Културно-историческо наследство от горецитирания доклад са обобщени данните за недвижимото културно наследство в териториите в близост до инвестиционното намерение.</w:t>
            </w:r>
          </w:p>
          <w:p w14:paraId="37B4E7BC" w14:textId="63A70C51"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 Писмо с изх. № 4800-1196/03.10.2024 г. на МИНКИ, 11ационалният институт за недвижимо културно наследство е изразил становище относно: Провеждане на консултации по изготвеното Задание за определяне на обхвата и съдържанието на доклада за Екологичната оценка (ЕО) на Проекта Генерален план на пристанище за обществен транспорт Русе.</w:t>
            </w:r>
          </w:p>
          <w:p w14:paraId="322AE573" w14:textId="03FAB8E9"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Предметът на разработката включва: Пристанищен терминал Русе - Запад, Пристанищен терминал Русе - Център, Пристанищен терминал Русе-Изток - 2, Пристанищен терминал Русе-Изток — 1, Пристанищен терминал Тутракан, Фериботен терминал Силистра, Пристанищен терминал Силистра, Пристанищен терминал Сомовит, Пристанищен терминал Никопол, Пристанищен терминал Свищов. Прави впечатление, че организацията на т. 2.1.6. Културно-историческо наследство не включва разграничаването на отделни </w:t>
            </w:r>
            <w:proofErr w:type="spellStart"/>
            <w:r w:rsidRPr="00C422C8">
              <w:rPr>
                <w:rFonts w:ascii="Times New Roman" w:hAnsi="Times New Roman" w:cs="Times New Roman"/>
              </w:rPr>
              <w:t>подглави</w:t>
            </w:r>
            <w:proofErr w:type="spellEnd"/>
            <w:r w:rsidRPr="00C422C8">
              <w:rPr>
                <w:rFonts w:ascii="Times New Roman" w:hAnsi="Times New Roman" w:cs="Times New Roman"/>
              </w:rPr>
              <w:t xml:space="preserve"> - </w:t>
            </w:r>
            <w:r w:rsidRPr="00C422C8">
              <w:rPr>
                <w:rFonts w:ascii="Times New Roman" w:hAnsi="Times New Roman" w:cs="Times New Roman"/>
              </w:rPr>
              <w:lastRenderedPageBreak/>
              <w:t>съдържанието е последователно, като в отделни параграфи са разгледани различни аспекти на културното наследство. На места текстът е твърде формален, като се проследява историята на отделен град (Русе, Силистра, Никопол и т.н.). При анализа са използвани са данни от ДИС-АКБ (към днешна дата ГИС-АКБ), както и данни от НДА на НИНКН. Това е констатирано в т. 8.2.7. Културно-историческо наследство, включително архитектурно и археологическо наследство. Въпреки това липсва списък на недвижимите културни ценности от НДА на ПИНКН и ГИС-АКБ. 11ри преглед на приложените материали към доклада не бяха открити данни за графичното нанасяне на недвижимите културни ценности.</w:t>
            </w:r>
          </w:p>
          <w:p w14:paraId="547EFDA0" w14:textId="2F830A9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Централно място в изложението на т. 2.1.6. Културно-историческо наследство има анализа на културното наследство в гр. Русе. Въпреки че са проследени по-значимите събития от историята на града, текстът не е проблемно ориентиран, като не е поставен акцент върху реалните проблеми свързани с опазването на културното наследство, които следва да възникнат при реализиране на инвестиционното намерение.</w:t>
            </w:r>
          </w:p>
          <w:p w14:paraId="26D4B2ED" w14:textId="5A8EFAB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Направена е констатация, че „на територията на града са регистрирани над 200 бр. недвижими културни ценности“, както и че „от данните от автоматизираната информационна система „Археологическата карта на България“ (ЛИС-АКБ), археологическите обекти в града са над 22 бр.“</w:t>
            </w:r>
          </w:p>
          <w:p w14:paraId="48E0F2BB" w14:textId="54CF7402"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Изложението за гр. Тутракан отново включва проследяване на основните събития от историята на града. Констатирано е, че „по данни от регистъра на Националния институт за недвижимо </w:t>
            </w:r>
            <w:r w:rsidRPr="00C422C8">
              <w:rPr>
                <w:rFonts w:ascii="Times New Roman" w:hAnsi="Times New Roman" w:cs="Times New Roman"/>
              </w:rPr>
              <w:lastRenderedPageBreak/>
              <w:t>културно наследство (ПИНКН), на територията на града са регистрирани над 70 бр. недвижими културни ценности.“</w:t>
            </w:r>
          </w:p>
          <w:p w14:paraId="78CCD875" w14:textId="4EED1198"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По сходен начин са организирани и абзаците за гр. Силистра. Историята на града е проследена от основаването на </w:t>
            </w:r>
            <w:proofErr w:type="spellStart"/>
            <w:r w:rsidRPr="00C422C8">
              <w:rPr>
                <w:rFonts w:ascii="Times New Roman" w:hAnsi="Times New Roman" w:cs="Times New Roman"/>
              </w:rPr>
              <w:t>Дуросторум</w:t>
            </w:r>
            <w:proofErr w:type="spellEnd"/>
            <w:r w:rsidRPr="00C422C8">
              <w:rPr>
                <w:rFonts w:ascii="Times New Roman" w:hAnsi="Times New Roman" w:cs="Times New Roman"/>
              </w:rPr>
              <w:t xml:space="preserve">, изграждането на Дунавската резиденция „Преславният дом на Дунав“, превземането на града от византийският император Йоан </w:t>
            </w:r>
            <w:proofErr w:type="spellStart"/>
            <w:r w:rsidRPr="00C422C8">
              <w:rPr>
                <w:rFonts w:ascii="Times New Roman" w:hAnsi="Times New Roman" w:cs="Times New Roman"/>
              </w:rPr>
              <w:t>Цимисхи</w:t>
            </w:r>
            <w:proofErr w:type="spellEnd"/>
            <w:r w:rsidRPr="00C422C8">
              <w:rPr>
                <w:rFonts w:ascii="Times New Roman" w:hAnsi="Times New Roman" w:cs="Times New Roman"/>
              </w:rPr>
              <w:t xml:space="preserve"> в края на X век, падането на града под османска власт и т.н. Констатирано е, че „По данни от регистъра на Националния институт за недвижимо културно наследство (ПИНКН), на територията на град Силистра са регистрирани над 100 бр. недвижими културни ценности.“</w:t>
            </w:r>
          </w:p>
          <w:p w14:paraId="6598E940" w14:textId="73B13787"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Анализът за с. Сомовит е относително кратък. Посочени са данни за броя на недвижимите културни ценности: 8 бр. съгласно регистъра на НИНКН и 3 бр. съгласно АИС-АКБ.</w:t>
            </w:r>
          </w:p>
          <w:p w14:paraId="36393A0E" w14:textId="77FAA24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Не е неглижиран и анализът на гр. Никопол. Исторически са проследени някои от по-значимите събития от историята като: Битката при Никопол от 1396 г„ ставането на града на център на Никополския санджак. Поставен е акцент върху Никополската крепост, кръстокуполната църква „Св. ев. Петър и Павел“ и др. Констатирано е, че „по данни от регистъра на НИНКН на територията на град Никопол са регистрирани над 30 недвижими културни ценности. Съгласно данните от АИС-АКБ на територията на град Никопол регистрираните археологически обекти са над 8 бр.“</w:t>
            </w:r>
          </w:p>
          <w:p w14:paraId="4C7503F3" w14:textId="3D57FB9B"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Подробен анализ е изготвен за гр. Свищов. Проследени са данните още от палеолита. Съществена част от изложението на текста е посветена на римския военен лагер и ранновизантийски </w:t>
            </w:r>
            <w:r w:rsidRPr="00C422C8">
              <w:rPr>
                <w:rFonts w:ascii="Times New Roman" w:hAnsi="Times New Roman" w:cs="Times New Roman"/>
              </w:rPr>
              <w:lastRenderedPageBreak/>
              <w:t>град - Нове. Поставен е акцент върху някои от значимите недвижими културни ценности на територията на града: църквата „Света Троица“, Историческа зона „Традиционен център гр. Свищов“ и др.</w:t>
            </w:r>
          </w:p>
          <w:p w14:paraId="40256B73" w14:textId="7B42932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Цитирани са нормативни документи имащи значение за недвижимото културно наследство: протоколи и заповеди за определяне на граници и режими, Разпореждане на МС №1711 </w:t>
            </w:r>
            <w:proofErr w:type="spellStart"/>
            <w:r w:rsidRPr="00C422C8">
              <w:rPr>
                <w:rFonts w:ascii="Times New Roman" w:hAnsi="Times New Roman" w:cs="Times New Roman"/>
              </w:rPr>
              <w:t>ог</w:t>
            </w:r>
            <w:proofErr w:type="spellEnd"/>
            <w:r w:rsidRPr="00C422C8">
              <w:rPr>
                <w:rFonts w:ascii="Times New Roman" w:hAnsi="Times New Roman" w:cs="Times New Roman"/>
              </w:rPr>
              <w:t xml:space="preserve"> 1962 г„ Закона за културното наследство и др.</w:t>
            </w:r>
          </w:p>
          <w:p w14:paraId="76980360" w14:textId="371E283E"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3.6. Културно-историческо наследство е констатирано следното: „не се очаква територии с обекти на културно-историческо, вкл. архитектурно и археологическо наследство, да бъдат негативно засегнати. Дейности, при прилагане на плана, ще се реализират в границите на вече урбанизирани площи и при спазване изискванията на Закона за културното наследство.“</w:t>
            </w:r>
          </w:p>
          <w:p w14:paraId="40C66998" w14:textId="7B737C63"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т. 6.6. Вероятни значителни въздействия върху културно историческото наследство са разгледани потенциалните рискове върху обектите на КИП. Текстът е кратък, като е акцентирано върху антропогенните фактори. Отбелязана е необходимостта от съгласуването на дейностите е компетентните органи - регионалните исторически музеи, Национален институт за недвижимо културно наследство, Министерство на културата. Упомената е потенциалната необходимост от драгажни дейности, въпреки че не е спомената ролята на Центъра за подводна археология (ЦПА) при опазването на недвижими археологически културни ценности в акваторията (в частност на р. Дунав).</w:t>
            </w:r>
          </w:p>
          <w:p w14:paraId="7E2FC68E" w14:textId="1D5A027A"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Въз основа на гореизложеното, при съставянето на част: Културно-историческо наследство от Доклад за ОВОС НИНКН препоръчва: Да се приложат актуални списъци на недвижимите културни ценности от НДА на НИНКН и ГИС „АКБ“ и те да бъдат отразени на опорен план в подходящ мащаб и легенда. При липса на недвижими културни ценности в обхвата на инвестиционно намерение или в непосредствена близост, това да бъде отразено в текстовата част. Предвид необходимостта от извършването на драгажни дейности може да се упомене необходимостта от съгласуване на дейностите с ЦПА. Във връзка с високата наситеност на недвижими културни ценности в землищата на гр. Русе, гр. Силистра, гр. Свищов, гр. Тутракан и гр. Никопол може да бъдат допълнени предложените мерки на опазване в контекста на направените оценки за въздействие върху недвижимите културни ценности.</w:t>
            </w:r>
          </w:p>
          <w:p w14:paraId="5F758316" w14:textId="69F5552C" w:rsidR="00872585" w:rsidRPr="00C422C8" w:rsidRDefault="00872585" w:rsidP="00872585">
            <w:pPr>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Отвъд посочените препоръки НИНКН няма възражения, относно Провеждане на консултации по изготвения Доклад за Екологична оценка (ЕО) на „Проект на Генерален план на пристанище за обществен транспорт Русе“.</w:t>
            </w:r>
          </w:p>
        </w:tc>
        <w:tc>
          <w:tcPr>
            <w:tcW w:w="2191" w:type="dxa"/>
          </w:tcPr>
          <w:p w14:paraId="3A32DEC6" w14:textId="18C62C78" w:rsidR="00872585" w:rsidRPr="00C422C8" w:rsidRDefault="00064560" w:rsidP="00872585">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Становището не съдържа забележки и предложения.</w:t>
            </w:r>
          </w:p>
        </w:tc>
      </w:tr>
      <w:tr w:rsidR="00872585" w:rsidRPr="00C422C8" w14:paraId="36958F04" w14:textId="77777777" w:rsidTr="00F94B18">
        <w:trPr>
          <w:trHeight w:val="2633"/>
        </w:trPr>
        <w:tc>
          <w:tcPr>
            <w:cnfStyle w:val="001000000000" w:firstRow="0" w:lastRow="0" w:firstColumn="1" w:lastColumn="0" w:oddVBand="0" w:evenVBand="0" w:oddHBand="0" w:evenHBand="0" w:firstRowFirstColumn="0" w:firstRowLastColumn="0" w:lastRowFirstColumn="0" w:lastRowLastColumn="0"/>
            <w:tcW w:w="524" w:type="dxa"/>
          </w:tcPr>
          <w:p w14:paraId="4466D130" w14:textId="733AA03B" w:rsidR="00872585" w:rsidRPr="00C422C8" w:rsidRDefault="00A62945" w:rsidP="00872585">
            <w:pPr>
              <w:rPr>
                <w:rFonts w:ascii="Times New Roman" w:hAnsi="Times New Roman" w:cs="Times New Roman"/>
              </w:rPr>
            </w:pPr>
            <w:r w:rsidRPr="00C422C8">
              <w:rPr>
                <w:rFonts w:ascii="Times New Roman" w:hAnsi="Times New Roman" w:cs="Times New Roman"/>
              </w:rPr>
              <w:lastRenderedPageBreak/>
              <w:t>22</w:t>
            </w:r>
          </w:p>
        </w:tc>
        <w:tc>
          <w:tcPr>
            <w:tcW w:w="2127" w:type="dxa"/>
          </w:tcPr>
          <w:p w14:paraId="2B987196" w14:textId="7B9534EE" w:rsidR="00872585" w:rsidRPr="00C422C8" w:rsidRDefault="00402AD7"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Министерство на околната среда и водите</w:t>
            </w:r>
          </w:p>
        </w:tc>
        <w:tc>
          <w:tcPr>
            <w:tcW w:w="2275" w:type="dxa"/>
          </w:tcPr>
          <w:p w14:paraId="124A3F9E" w14:textId="77777777" w:rsidR="00872585" w:rsidRPr="00C422C8"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6831" w:type="dxa"/>
          </w:tcPr>
          <w:p w14:paraId="69B38215" w14:textId="77777777" w:rsidR="00402AD7" w:rsidRPr="00C422C8" w:rsidRDefault="00402AD7" w:rsidP="004C27E0">
            <w:pPr>
              <w:tabs>
                <w:tab w:val="left" w:pos="1624"/>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Във връзка с постъпил в Министерство на околната среда и водите (МОСВ) за провеждане на консултации доклад за екологична оценка (ЕО) на проекта на Генерален план на пристанище за обществен транспорт Русе с вх. № ЕО-33/09.05.2025 г„ изразяваме следното становище:</w:t>
            </w:r>
          </w:p>
          <w:p w14:paraId="2692550B" w14:textId="77777777" w:rsidR="00402AD7" w:rsidRPr="00C422C8" w:rsidRDefault="00402AD7" w:rsidP="00C422C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rPr>
            </w:pPr>
            <w:r w:rsidRPr="00C422C8">
              <w:rPr>
                <w:rFonts w:ascii="Times New Roman" w:hAnsi="Times New Roman" w:cs="Times New Roman"/>
                <w:b/>
                <w:bCs/>
                <w:i/>
                <w:iCs/>
              </w:rPr>
              <w:t>I.</w:t>
            </w:r>
            <w:r w:rsidRPr="00C422C8">
              <w:rPr>
                <w:rFonts w:ascii="Times New Roman" w:hAnsi="Times New Roman" w:cs="Times New Roman"/>
                <w:b/>
                <w:bCs/>
                <w:i/>
                <w:iCs/>
              </w:rPr>
              <w:tab/>
              <w:t>По отношение на доклада за екологична оценка и приложенията към него:</w:t>
            </w:r>
          </w:p>
          <w:p w14:paraId="250A1975" w14:textId="673D0A23" w:rsidR="00872585" w:rsidRPr="00E11075" w:rsidRDefault="00402AD7" w:rsidP="004C27E0">
            <w:pPr>
              <w:tabs>
                <w:tab w:val="left" w:pos="1624"/>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Докладът за ЕО по принцип е съобразен с изискванията за структура и обхват </w:t>
            </w:r>
            <w:r w:rsidRPr="00E11075">
              <w:rPr>
                <w:rFonts w:ascii="Times New Roman" w:hAnsi="Times New Roman" w:cs="Times New Roman"/>
              </w:rPr>
              <w:t>съгласно чл. 86, ат. 3 от Закона за опазване на околната среда (ЗООС). като по представената в него информация имаме следните бележки, коментари и препоръки:</w:t>
            </w:r>
          </w:p>
          <w:p w14:paraId="12C5A605" w14:textId="2F854A11" w:rsidR="00402AD7" w:rsidRPr="00E11075"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075">
              <w:rPr>
                <w:rFonts w:ascii="Times New Roman" w:hAnsi="Times New Roman" w:cs="Times New Roman"/>
              </w:rPr>
              <w:t>В Глава 6: „Вероятни значителни въздействия върху околната среда“, в т. 6.1.1. е посочено, че прилагането на Генералния план няма пряко отношение към смекчаването на изменението на климата</w:t>
            </w:r>
            <w:r w:rsidRPr="00C422C8">
              <w:rPr>
                <w:rFonts w:ascii="Times New Roman" w:hAnsi="Times New Roman" w:cs="Times New Roman"/>
              </w:rPr>
              <w:t>. Това противоречи на част от информацията, посочена в Таблица 47: „Цели на опазване на околната среда на национално и международно равнище, имащи отношение към плана, и начинът по който тези цели и всички екологични съображения са взети под внимание по време на изготвянето на плана“. В Таблица 47 са споменати например цели и задачи на Плана, които допринасят за постигането на целите на Стратегията за устойчива и интелигентна мобилност на ниво ЕК. и по-конкретно съществуващи в Плана изисквания за използване на техника, която допринася за намаляване на емисиите СО</w:t>
            </w:r>
            <w:r w:rsidR="00B80147">
              <w:rPr>
                <w:rFonts w:ascii="Times New Roman" w:hAnsi="Times New Roman" w:cs="Times New Roman"/>
                <w:vertAlign w:val="subscript"/>
              </w:rPr>
              <w:t>2</w:t>
            </w:r>
            <w:r w:rsidRPr="00C422C8">
              <w:rPr>
                <w:rFonts w:ascii="Times New Roman" w:hAnsi="Times New Roman" w:cs="Times New Roman"/>
              </w:rPr>
              <w:t xml:space="preserve"> от пристанищни операции, както и създадени възможности за интегриране на нисковъглеродни горива в бъдеще. В таблицата са споменати и други мерки с пряко </w:t>
            </w:r>
            <w:r w:rsidRPr="00C422C8">
              <w:rPr>
                <w:rFonts w:ascii="Times New Roman" w:hAnsi="Times New Roman" w:cs="Times New Roman"/>
              </w:rPr>
              <w:lastRenderedPageBreak/>
              <w:t xml:space="preserve">отношение към намаляването на емисиите на ПГ, като устойчивото управление на отпадъци. С оглед на гореизложеното, предлагаме редакция на горепосоченото </w:t>
            </w:r>
            <w:r w:rsidRPr="00E11075">
              <w:rPr>
                <w:rFonts w:ascii="Times New Roman" w:hAnsi="Times New Roman" w:cs="Times New Roman"/>
              </w:rPr>
              <w:t>изречение.</w:t>
            </w:r>
          </w:p>
          <w:p w14:paraId="437EB9A6" w14:textId="77777777" w:rsidR="00402AD7" w:rsidRPr="00C422C8"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075">
              <w:rPr>
                <w:rFonts w:ascii="Times New Roman" w:hAnsi="Times New Roman" w:cs="Times New Roman"/>
              </w:rPr>
              <w:t>Съгласно чл. 86, ал. 3, т. 6 от ЗООС докладът за екологична оценка задължително съдържа: „вероятни значителни въздействия върху околната среда, включително [...] климатични фактори [...]; тези въздействия трябва да включват вторични, кумулативни</w:t>
            </w:r>
            <w:r w:rsidRPr="00C422C8">
              <w:rPr>
                <w:rFonts w:ascii="Times New Roman" w:hAnsi="Times New Roman" w:cs="Times New Roman"/>
              </w:rPr>
              <w:t>, едновременни, краткосрочни, средносрочни и дългосрочни, постоянни и временни, положителни и отрицателни последици". С оглед на изискването на ЗООС, считаме за уместно Генералният план да съдържа информация за потенциалното позитивно въздействие на Плана върху изменението на климата, предвид това, че вътрешните водни пътища обикновено имат по-ниски емисии на парникови газове на тон-километър в сравнение с автомобилния и въздушния транспорт. В момента информация за потенциалното позитивно въздействие е посочена единствено в табличен вид на стр. 265 в Таблица 48: „Прогнозна оценка на очакваните въздействия върху климата, климатичните промени и адаптацията към климатичните промени в района на пристанищните терминали в резултат от реализацията на плана“. Предлагаме в Плана да бъде включена кратка информация за потенциалното позитивно въздействие на неговото изпълнение върху изменението на климата.</w:t>
            </w:r>
          </w:p>
          <w:p w14:paraId="6FA4F91B" w14:textId="77777777" w:rsidR="00402AD7" w:rsidRPr="00C422C8"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На стр. 168 от доклада за ЕО, текста на точка „2.1.5. Земи и почви“ следва да се допълни с информация относно проявление </w:t>
            </w:r>
            <w:r w:rsidRPr="00C422C8">
              <w:rPr>
                <w:rFonts w:ascii="Times New Roman" w:hAnsi="Times New Roman" w:cs="Times New Roman"/>
              </w:rPr>
              <w:lastRenderedPageBreak/>
              <w:t>на процеси, които увреждат почвите съгласно чл. 12 от Закона за почвите, в това число ерозия на почвата, уплътняване, замърсяване, или да има позоваване на Таблица 46 Съществуващи екологични проблеми, установени на различно ниво, имащи отношение към прилагане на Генералния план на пристанище за обществен транспорт Русе.</w:t>
            </w:r>
          </w:p>
          <w:p w14:paraId="26F57EEA" w14:textId="77777777" w:rsidR="00402AD7"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На стр. 240 от доклада за ЕО. в колона „Развитие на идентифицираните екологични проблеми с отношение към Генералния план без прилагането на същия" от Таблица 46 Идентифицирани екологични проблеми с отношение към Генералния план на пристанище за обществен транспорт Русе, следва да се добави информация, отнасяща се до развитие на ерозията и запечатването; унищожаване на хумусния хоризонт, нарушаване на почвения профил при строителните дейности в процеса на изпълнение на плана.</w:t>
            </w:r>
          </w:p>
          <w:p w14:paraId="124FD840" w14:textId="77777777" w:rsidR="00E11075" w:rsidRDefault="00E11075" w:rsidP="00E11075">
            <w:pPr>
              <w:tabs>
                <w:tab w:val="left" w:pos="49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461D68E" w14:textId="77777777" w:rsidR="00E11075" w:rsidRDefault="00E11075" w:rsidP="00E11075">
            <w:pPr>
              <w:tabs>
                <w:tab w:val="left" w:pos="49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C596442" w14:textId="77777777" w:rsidR="00E11075" w:rsidRDefault="00E11075" w:rsidP="00E11075">
            <w:pPr>
              <w:tabs>
                <w:tab w:val="left" w:pos="49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B0E03D0" w14:textId="77777777" w:rsidR="00E11075" w:rsidRPr="00E11075" w:rsidRDefault="00E11075" w:rsidP="00E11075">
            <w:pPr>
              <w:tabs>
                <w:tab w:val="left" w:pos="490"/>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312A575" w14:textId="45C10289" w:rsidR="00402AD7" w:rsidRPr="00C422C8"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E11075">
              <w:rPr>
                <w:rFonts w:ascii="Times New Roman" w:hAnsi="Times New Roman" w:cs="Times New Roman"/>
              </w:rPr>
              <w:t>на стр. 318 от доклада за ЕО (съответно стр. 100, Таблица 8 от Нетехническото</w:t>
            </w:r>
            <w:r w:rsidRPr="00C422C8">
              <w:rPr>
                <w:rFonts w:ascii="Times New Roman" w:hAnsi="Times New Roman" w:cs="Times New Roman"/>
              </w:rPr>
              <w:t xml:space="preserve"> резюме), в таблица 65. Мерки з</w:t>
            </w:r>
            <w:r w:rsidR="00560A06">
              <w:rPr>
                <w:rFonts w:ascii="Times New Roman" w:hAnsi="Times New Roman" w:cs="Times New Roman"/>
              </w:rPr>
              <w:t>а</w:t>
            </w:r>
            <w:r w:rsidRPr="00C422C8">
              <w:rPr>
                <w:rFonts w:ascii="Times New Roman" w:hAnsi="Times New Roman" w:cs="Times New Roman"/>
              </w:rPr>
              <w:t xml:space="preserve"> наблюдение и контрол при прилагане на плана и индикатори за контрол на съответните предложени мерки в компонент „Вредни физични фактори“ е посочена мярка „Контрол на шумовите нива, електромагнитните полета и при необходимост радиационната обстановка“, като отговорни за която са посочени „съответните РИОСВ и общински администрации“.</w:t>
            </w:r>
          </w:p>
          <w:p w14:paraId="6D625A29" w14:textId="77777777" w:rsidR="00402AD7" w:rsidRPr="007C2406" w:rsidRDefault="00402AD7"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lastRenderedPageBreak/>
              <w:t xml:space="preserve">Обръщаме внимание, че РИОСВ са отговорни за контрол само по отношение на шума от промишлени източници и нямат отговорност за контрол на електромагнитни полета или контрол на </w:t>
            </w:r>
            <w:r w:rsidRPr="007C2406">
              <w:rPr>
                <w:rFonts w:ascii="Times New Roman" w:hAnsi="Times New Roman" w:cs="Times New Roman"/>
              </w:rPr>
              <w:t>радиационната обстановка, където контролът е от РЗИ.</w:t>
            </w:r>
          </w:p>
          <w:p w14:paraId="7129BCDF" w14:textId="76F8AA6B" w:rsidR="00402AD7" w:rsidRPr="00C422C8"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7C2406">
              <w:rPr>
                <w:rFonts w:ascii="Times New Roman" w:hAnsi="Times New Roman" w:cs="Times New Roman"/>
              </w:rPr>
              <w:t>Текстът на стр. 312 от доклада за ЕО „Методите на прогноза и оценка</w:t>
            </w:r>
            <w:r w:rsidRPr="00C422C8">
              <w:rPr>
                <w:rFonts w:ascii="Times New Roman" w:hAnsi="Times New Roman" w:cs="Times New Roman"/>
              </w:rPr>
              <w:t xml:space="preserve"> на въздействието използвани за зоните от мрежата Матура 2000 са описани в ДОСВ.“ да отпадне.</w:t>
            </w:r>
          </w:p>
          <w:p w14:paraId="693F9917" w14:textId="73D570F3" w:rsidR="00402AD7" w:rsidRPr="001F05B9"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Информираме Ви</w:t>
            </w:r>
            <w:r w:rsidR="0096488D">
              <w:rPr>
                <w:rFonts w:ascii="Times New Roman" w:hAnsi="Times New Roman" w:cs="Times New Roman"/>
              </w:rPr>
              <w:t xml:space="preserve">, </w:t>
            </w:r>
            <w:r w:rsidRPr="00C422C8">
              <w:rPr>
                <w:rFonts w:ascii="Times New Roman" w:hAnsi="Times New Roman" w:cs="Times New Roman"/>
              </w:rPr>
              <w:t xml:space="preserve">че в хода на процедурата по провеждане на консултации по доклада за ЕО на проект на Генерален план за пристанище за обществен транспорт Русе, от Басейнова дирекция „Дунавски район“ е изискано становище по смисъла на чл. 155, ал. 1. т. 23 от Закона за водите, в т.ч. за допустимостта на проекта на Генералния план в утвърдените План за управление на </w:t>
            </w:r>
            <w:r w:rsidRPr="001F05B9">
              <w:rPr>
                <w:rFonts w:ascii="Times New Roman" w:hAnsi="Times New Roman" w:cs="Times New Roman"/>
              </w:rPr>
              <w:t>речните басейни в Дунавски район 2022-2027 г. и План за управление на риска от наводнения в Дунавски район за периода 2022-2027 г. След получаване на актуално становище, същото ще Ви бъде предоставено своевременно за съобразяване.</w:t>
            </w:r>
          </w:p>
          <w:p w14:paraId="47E0FEB7" w14:textId="77777777" w:rsidR="00402AD7" w:rsidRPr="001F05B9" w:rsidRDefault="00402AD7" w:rsidP="00A62945">
            <w:pPr>
              <w:pStyle w:val="ListParagraph"/>
              <w:numPr>
                <w:ilvl w:val="0"/>
                <w:numId w:val="4"/>
              </w:numPr>
              <w:tabs>
                <w:tab w:val="left" w:pos="490"/>
              </w:tabs>
              <w:ind w:left="64" w:firstLine="66"/>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F05B9">
              <w:rPr>
                <w:rFonts w:ascii="Times New Roman" w:hAnsi="Times New Roman" w:cs="Times New Roman"/>
              </w:rPr>
              <w:t>В хода на провежданите консултации по доклада за ЕО, в МОСВ е постъпило становище от Министерство на здравеопазването с вх. № ЕО-33/05,06.2025 г., адресирано и до Държавно предприятие „Пристанищна инфраструктура”, съгласно което:</w:t>
            </w:r>
          </w:p>
          <w:p w14:paraId="0C256408" w14:textId="2D71754C" w:rsidR="0082363B" w:rsidRPr="0096488D" w:rsidRDefault="00402AD7" w:rsidP="0096488D">
            <w:pPr>
              <w:tabs>
                <w:tab w:val="left" w:pos="1624"/>
              </w:tabs>
              <w:ind w:left="64"/>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1F05B9">
              <w:rPr>
                <w:rFonts w:ascii="Times New Roman" w:hAnsi="Times New Roman" w:cs="Times New Roman"/>
              </w:rPr>
              <w:t>Инфраструктурата на пристанище за обществен транспорт Русе включва 10 броя пристанищни терминали, на които се извършват разнообразни</w:t>
            </w:r>
            <w:r w:rsidRPr="0096488D">
              <w:rPr>
                <w:rFonts w:ascii="Times New Roman" w:hAnsi="Times New Roman" w:cs="Times New Roman"/>
              </w:rPr>
              <w:t xml:space="preserve"> по характер и обем дейности като</w:t>
            </w:r>
            <w:r w:rsidR="0082363B" w:rsidRPr="0096488D">
              <w:rPr>
                <w:rFonts w:ascii="Times New Roman" w:hAnsi="Times New Roman" w:cs="Times New Roman"/>
              </w:rPr>
              <w:t xml:space="preserve"> обработка на генерални, насипни и наливни товари, контейнери и „</w:t>
            </w:r>
            <w:proofErr w:type="spellStart"/>
            <w:r w:rsidR="0082363B" w:rsidRPr="0096488D">
              <w:rPr>
                <w:rFonts w:ascii="Times New Roman" w:hAnsi="Times New Roman" w:cs="Times New Roman"/>
              </w:rPr>
              <w:t>ро-ро</w:t>
            </w:r>
            <w:proofErr w:type="spellEnd"/>
            <w:r w:rsidR="0082363B" w:rsidRPr="0096488D">
              <w:rPr>
                <w:rFonts w:ascii="Times New Roman" w:hAnsi="Times New Roman" w:cs="Times New Roman"/>
              </w:rPr>
              <w:t xml:space="preserve">” товари - леки и товарни автомобили, автобуси, </w:t>
            </w:r>
            <w:r w:rsidR="0082363B" w:rsidRPr="0096488D">
              <w:rPr>
                <w:rFonts w:ascii="Times New Roman" w:hAnsi="Times New Roman" w:cs="Times New Roman"/>
              </w:rPr>
              <w:lastRenderedPageBreak/>
              <w:t xml:space="preserve">селскостопански и други самоходни машини на колесен ход, поща, приемане и преминаване на пътници и престой на плавателни съдове, </w:t>
            </w:r>
            <w:proofErr w:type="spellStart"/>
            <w:r w:rsidR="0082363B" w:rsidRPr="0096488D">
              <w:rPr>
                <w:rFonts w:ascii="Times New Roman" w:hAnsi="Times New Roman" w:cs="Times New Roman"/>
              </w:rPr>
              <w:t>бункероване</w:t>
            </w:r>
            <w:proofErr w:type="spellEnd"/>
            <w:r w:rsidR="0082363B" w:rsidRPr="0096488D">
              <w:rPr>
                <w:rFonts w:ascii="Times New Roman" w:hAnsi="Times New Roman" w:cs="Times New Roman"/>
              </w:rPr>
              <w:t xml:space="preserve"> на кораби (гориво, смазочни материали, вода) и др.</w:t>
            </w:r>
          </w:p>
          <w:p w14:paraId="117B3FEE"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доклада е посочено разстоянието само на 6 от пристанищните терминали (ПТ) до обекти, подлежащи на здравна защита, а именно:</w:t>
            </w:r>
          </w:p>
          <w:p w14:paraId="405049B4"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60 м от ПТ Русе-Център,</w:t>
            </w:r>
          </w:p>
          <w:p w14:paraId="632859BA"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65 м от ПТ Сомовит,</w:t>
            </w:r>
          </w:p>
          <w:p w14:paraId="1E071E85"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200 м от ПТ Никопол,</w:t>
            </w:r>
          </w:p>
          <w:p w14:paraId="122AA804"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70 м от ПТ Свищов.</w:t>
            </w:r>
          </w:p>
          <w:p w14:paraId="097C50D0"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15 м от пристанищен терминал Тутракан,</w:t>
            </w:r>
          </w:p>
          <w:p w14:paraId="0134E740" w14:textId="77777777" w:rsidR="0082363B" w:rsidRPr="00C422C8" w:rsidRDefault="0082363B" w:rsidP="00A62945">
            <w:pPr>
              <w:pStyle w:val="ListParagraph"/>
              <w:tabs>
                <w:tab w:val="left" w:pos="348"/>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w:t>
            </w:r>
            <w:r w:rsidRPr="00C422C8">
              <w:rPr>
                <w:rFonts w:ascii="Times New Roman" w:hAnsi="Times New Roman" w:cs="Times New Roman"/>
              </w:rPr>
              <w:tab/>
              <w:t>и на 35 м от пристанищен терминал Силистра.</w:t>
            </w:r>
          </w:p>
          <w:p w14:paraId="659831C1"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Министерство на здравеопазването изразява становище, че в доклада не е посочен вида на обектите, нито е извършена цялостна оценка на въздействие върху тях, тъй като авторите на доклада за ЕО са счели, че тези разстояния са достатъчни. За M3 този подход е неправилен, тъй като ако се отчита само разстоянието. Следва да се има предвид, че разстояния от 15-100 м. са близки.</w:t>
            </w:r>
          </w:p>
          <w:p w14:paraId="1AB9991A" w14:textId="54B11C25"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При оценката на риска за човешкото здраве са използвани данни и от провеждания от РЗИ мониторинг на факторите на жизнената среда. Изведеният в доклада за ЕО обаче извод, че тъй като РЗИ за определена година не е извършвала мониторинг на нивата на електромагнитни полета в пунктове, разположени в близост до пристанищните терминали, предполага липсата на източници на </w:t>
            </w:r>
            <w:proofErr w:type="spellStart"/>
            <w:r w:rsidRPr="00C422C8">
              <w:rPr>
                <w:rFonts w:ascii="Times New Roman" w:hAnsi="Times New Roman" w:cs="Times New Roman"/>
              </w:rPr>
              <w:t>нейонизиращи</w:t>
            </w:r>
            <w:proofErr w:type="spellEnd"/>
            <w:r w:rsidRPr="00C422C8">
              <w:rPr>
                <w:rFonts w:ascii="Times New Roman" w:hAnsi="Times New Roman" w:cs="Times New Roman"/>
              </w:rPr>
              <w:t xml:space="preserve"> лъчения, които да представляват </w:t>
            </w:r>
            <w:r w:rsidRPr="00C422C8">
              <w:rPr>
                <w:rFonts w:ascii="Times New Roman" w:hAnsi="Times New Roman" w:cs="Times New Roman"/>
              </w:rPr>
              <w:lastRenderedPageBreak/>
              <w:t>здравен риск за населението, живеещо в близост до тях е неверен. Същото се отнася и за другите фактори и компоненти на околната и жизнената среда. Липсата на пункт за мониторинг на атмосферния въздух на РИОСВ напр., също не е основание да се изведе извода, че „няма предпоставки за среда с неблагоприятен здравен ефект”.</w:t>
            </w:r>
          </w:p>
          <w:p w14:paraId="5D332D2C"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Ролята на доклада за ЕО е да оцени в цялост очакваното въздействие върху факторите и компонентите на околната и жизнената среда и от там върху човешкото здраве. В хода на тази оценка могат да се ползват официалните данни от провеждания от компетентните органи мониторинг, като при липсата на такива авторите на доклада следва да извършат съответните измервания и изчисления за адекватна оценка на здравния риск.</w:t>
            </w:r>
          </w:p>
          <w:p w14:paraId="0F58C9B4"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Предоставената информация и направената оценка за засегнатите </w:t>
            </w:r>
            <w:proofErr w:type="spellStart"/>
            <w:r w:rsidRPr="00C422C8">
              <w:rPr>
                <w:rFonts w:ascii="Times New Roman" w:hAnsi="Times New Roman" w:cs="Times New Roman"/>
              </w:rPr>
              <w:t>водовземни</w:t>
            </w:r>
            <w:proofErr w:type="spellEnd"/>
            <w:r w:rsidRPr="00C422C8">
              <w:rPr>
                <w:rFonts w:ascii="Times New Roman" w:hAnsi="Times New Roman" w:cs="Times New Roman"/>
              </w:rPr>
              <w:t xml:space="preserve"> съоръжения за питейно-битово водоснабдяване и санитарно охранителни зони е схематична и непълна. Не се добива яснота за вида на </w:t>
            </w:r>
            <w:proofErr w:type="spellStart"/>
            <w:r w:rsidRPr="00C422C8">
              <w:rPr>
                <w:rFonts w:ascii="Times New Roman" w:hAnsi="Times New Roman" w:cs="Times New Roman"/>
              </w:rPr>
              <w:t>водовземните</w:t>
            </w:r>
            <w:proofErr w:type="spellEnd"/>
            <w:r w:rsidRPr="00C422C8">
              <w:rPr>
                <w:rFonts w:ascii="Times New Roman" w:hAnsi="Times New Roman" w:cs="Times New Roman"/>
              </w:rPr>
              <w:t xml:space="preserve"> съоръжения, местоположенията им. предназначението им, качествата на подаваната вода и т.н. В Регистъра на зоните за защита на питейни води от подземни водни тела (ПВТ) на Басейнова дирекция „Дунавски район” към 2009 г. (ПУРБ ДР Приложение 3. 1.3, т. 10) за Г1ВТ с код BG1G0000QAL008 са вписани 7 бр. учредени СОЗ. В доклада липсва информация и оценка на тези СОЗ.</w:t>
            </w:r>
          </w:p>
          <w:p w14:paraId="5C3EB443"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 xml:space="preserve">Във връзка с гореизложеното, предвид близостта на пристанищните терминали, характера и обема на дейностите, </w:t>
            </w:r>
            <w:r w:rsidRPr="00C422C8">
              <w:rPr>
                <w:rFonts w:ascii="Times New Roman" w:hAnsi="Times New Roman" w:cs="Times New Roman"/>
              </w:rPr>
              <w:lastRenderedPageBreak/>
              <w:t>които се извършват на територията им, както и комплексното им въздействие, непосредствената близост до територии и/или зони и обекти подлежащи на здравна защита, Министерство на здравеопазването счита, че информацията следва да се допълни в съответствие с посоченото по-горе, и да се съобрази със становището на Министерство на здравеопазването, изразено с писмо изх. № 04-09-43/07.10.2024 г.</w:t>
            </w:r>
          </w:p>
          <w:p w14:paraId="6C965F2E" w14:textId="77777777"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Изведения извод по отношение здравно-демографското състояние, което е „без отношение към Генералния план” следва да се обоснове, вкл. като се направи прогнозна оценка за влиянието върху здравно-демографското състояние при прилагането на плана, в</w:t>
            </w:r>
          </w:p>
          <w:p w14:paraId="5FCE56AE" w14:textId="77F1A29E" w:rsidR="0082363B"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съответствие с посоченото на т. 8 от цитираното по-горе писмо на Министерство на здравеопазването.</w:t>
            </w:r>
          </w:p>
          <w:p w14:paraId="5908FCBE" w14:textId="77777777" w:rsidR="005B4030" w:rsidRPr="00C422C8" w:rsidRDefault="0082363B"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съответствие с направените анализи и оценки, в доклада за ЕО следва да бъдат включени релевантни мерки, с цел недопускане на негативно въздействие върху територии и обекти подлежащи на здравна защита, като информацията за оценката на здравния риск може да бъде разгледана в самостоятелен раздел, който в систематизиран вид да съдържа цялата</w:t>
            </w:r>
            <w:r w:rsidR="005B4030" w:rsidRPr="00C422C8">
              <w:rPr>
                <w:rFonts w:ascii="Times New Roman" w:hAnsi="Times New Roman" w:cs="Times New Roman"/>
              </w:rPr>
              <w:t xml:space="preserve"> информация.</w:t>
            </w:r>
          </w:p>
          <w:p w14:paraId="48D4F963" w14:textId="77777777" w:rsidR="005B4030" w:rsidRPr="00C422C8" w:rsidRDefault="005B4030" w:rsidP="0096488D">
            <w:pPr>
              <w:pStyle w:val="ListParagraph"/>
              <w:tabs>
                <w:tab w:val="left" w:pos="915"/>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В допълнение, Министерство на здравеопазването, счита, че в доклада за ЕО следва да се включи информация относно осигуряването на условия за провеждане на граничен здравен контрол на съответните терминали, обслужващи пътници.</w:t>
            </w:r>
          </w:p>
          <w:p w14:paraId="2D70282D" w14:textId="77777777" w:rsidR="005B4030" w:rsidRPr="00C422C8" w:rsidRDefault="005B4030" w:rsidP="0096488D">
            <w:pPr>
              <w:pStyle w:val="ListParagraph"/>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rPr>
            </w:pPr>
            <w:r w:rsidRPr="00C422C8">
              <w:rPr>
                <w:rFonts w:ascii="Times New Roman" w:hAnsi="Times New Roman" w:cs="Times New Roman"/>
                <w:b/>
                <w:bCs/>
                <w:i/>
                <w:iCs/>
              </w:rPr>
              <w:t>II.</w:t>
            </w:r>
            <w:r w:rsidRPr="00C422C8">
              <w:rPr>
                <w:rFonts w:ascii="Times New Roman" w:hAnsi="Times New Roman" w:cs="Times New Roman"/>
                <w:b/>
                <w:bCs/>
                <w:i/>
                <w:iCs/>
              </w:rPr>
              <w:tab/>
              <w:t xml:space="preserve">Предложение за мерки за наблюдение и контрол на въздействието върху околната среда и човешкото здраве при </w:t>
            </w:r>
            <w:r w:rsidRPr="00C422C8">
              <w:rPr>
                <w:rFonts w:ascii="Times New Roman" w:hAnsi="Times New Roman" w:cs="Times New Roman"/>
                <w:b/>
                <w:bCs/>
                <w:i/>
                <w:iCs/>
              </w:rPr>
              <w:lastRenderedPageBreak/>
              <w:t>прилагането на Генералния план на пристанище за обществен транспорт Русе:</w:t>
            </w:r>
          </w:p>
          <w:p w14:paraId="42C21EB0" w14:textId="77777777" w:rsidR="005B4030" w:rsidRPr="00C422C8" w:rsidRDefault="005B4030" w:rsidP="00A62945">
            <w:pPr>
              <w:pStyle w:val="ListParagraph"/>
              <w:tabs>
                <w:tab w:val="left" w:pos="490"/>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w:t>
            </w:r>
            <w:r w:rsidRPr="00C422C8">
              <w:rPr>
                <w:rFonts w:ascii="Times New Roman" w:hAnsi="Times New Roman" w:cs="Times New Roman"/>
              </w:rPr>
              <w:tab/>
              <w:t>Държавно предприятие „Пристанищна инфраструктура“ да изготвя доклад по наблюдението и контрола при прилагането на Генералния план на пристанище за обществен транспорт Русе. включително на мерките за предотвратяване, намаляване или възможно най-пълно отстраняване на предполагаемите неблагоприятни последствия от осъществяването на плана, който да представя в МОСВ на всеки 3 (три) години от прилагането на плана.</w:t>
            </w:r>
          </w:p>
          <w:p w14:paraId="751710B4" w14:textId="77777777" w:rsidR="00402AD7" w:rsidRPr="00C422C8" w:rsidRDefault="005B4030" w:rsidP="00A62945">
            <w:pPr>
              <w:pStyle w:val="ListParagraph"/>
              <w:tabs>
                <w:tab w:val="left" w:pos="490"/>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2.</w:t>
            </w:r>
            <w:r w:rsidRPr="00C422C8">
              <w:rPr>
                <w:rFonts w:ascii="Times New Roman" w:hAnsi="Times New Roman" w:cs="Times New Roman"/>
              </w:rPr>
              <w:tab/>
              <w:t>Наблюдението и контролът на въздействията върху околната среда при прилагането на Генералния план на пристанище за обществен транспорт Русе да се извършват въз основа на следните мерки и индикатори: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1678"/>
              <w:gridCol w:w="1187"/>
              <w:gridCol w:w="1680"/>
            </w:tblGrid>
            <w:tr w:rsidR="004C27E0" w:rsidRPr="00C422C8" w14:paraId="5400AAED" w14:textId="77777777" w:rsidTr="004C27E0">
              <w:trPr>
                <w:trHeight w:hRule="exact" w:val="804"/>
                <w:jc w:val="center"/>
              </w:trPr>
              <w:tc>
                <w:tcPr>
                  <w:tcW w:w="1968" w:type="dxa"/>
                  <w:tcBorders>
                    <w:top w:val="single" w:sz="4" w:space="0" w:color="auto"/>
                    <w:left w:val="single" w:sz="4" w:space="0" w:color="auto"/>
                  </w:tcBorders>
                  <w:shd w:val="clear" w:color="auto" w:fill="FFFFFF"/>
                  <w:vAlign w:val="bottom"/>
                </w:tcPr>
                <w:p w14:paraId="10E8D0F0"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rStyle w:val="21"/>
                      <w:sz w:val="20"/>
                      <w:szCs w:val="20"/>
                    </w:rPr>
                    <w:t>Мярка по наблюдение и контрол</w:t>
                  </w:r>
                </w:p>
              </w:tc>
              <w:tc>
                <w:tcPr>
                  <w:tcW w:w="1789" w:type="dxa"/>
                  <w:tcBorders>
                    <w:top w:val="single" w:sz="4" w:space="0" w:color="auto"/>
                    <w:left w:val="single" w:sz="4" w:space="0" w:color="auto"/>
                  </w:tcBorders>
                  <w:shd w:val="clear" w:color="auto" w:fill="FFFFFF"/>
                </w:tcPr>
                <w:p w14:paraId="4EA4514A"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rStyle w:val="21"/>
                      <w:sz w:val="20"/>
                      <w:szCs w:val="20"/>
                    </w:rPr>
                    <w:t>Индикатори</w:t>
                  </w:r>
                </w:p>
              </w:tc>
              <w:tc>
                <w:tcPr>
                  <w:tcW w:w="1081" w:type="dxa"/>
                  <w:tcBorders>
                    <w:top w:val="single" w:sz="4" w:space="0" w:color="auto"/>
                    <w:left w:val="single" w:sz="4" w:space="0" w:color="auto"/>
                  </w:tcBorders>
                  <w:shd w:val="clear" w:color="auto" w:fill="FFFFFF"/>
                </w:tcPr>
                <w:p w14:paraId="10CF7660" w14:textId="77777777" w:rsidR="004C27E0" w:rsidRPr="00C422C8" w:rsidRDefault="004C27E0" w:rsidP="004C27E0">
                  <w:pPr>
                    <w:pStyle w:val="20"/>
                    <w:shd w:val="clear" w:color="auto" w:fill="auto"/>
                    <w:tabs>
                      <w:tab w:val="left" w:pos="1624"/>
                    </w:tabs>
                    <w:spacing w:after="120" w:line="240" w:lineRule="auto"/>
                    <w:ind w:firstLine="0"/>
                    <w:jc w:val="center"/>
                    <w:rPr>
                      <w:sz w:val="20"/>
                      <w:szCs w:val="20"/>
                    </w:rPr>
                  </w:pPr>
                  <w:r w:rsidRPr="00C422C8">
                    <w:rPr>
                      <w:rStyle w:val="21"/>
                      <w:sz w:val="20"/>
                      <w:szCs w:val="20"/>
                    </w:rPr>
                    <w:t>Единица</w:t>
                  </w:r>
                </w:p>
                <w:p w14:paraId="01FD0956" w14:textId="77777777" w:rsidR="004C27E0" w:rsidRPr="00C422C8" w:rsidRDefault="004C27E0" w:rsidP="004C27E0">
                  <w:pPr>
                    <w:pStyle w:val="20"/>
                    <w:shd w:val="clear" w:color="auto" w:fill="auto"/>
                    <w:tabs>
                      <w:tab w:val="left" w:pos="1624"/>
                    </w:tabs>
                    <w:spacing w:before="120" w:line="240" w:lineRule="auto"/>
                    <w:ind w:firstLine="0"/>
                    <w:jc w:val="center"/>
                    <w:rPr>
                      <w:sz w:val="20"/>
                      <w:szCs w:val="20"/>
                    </w:rPr>
                  </w:pPr>
                  <w:r w:rsidRPr="00C422C8">
                    <w:rPr>
                      <w:rStyle w:val="21"/>
                      <w:sz w:val="20"/>
                      <w:szCs w:val="20"/>
                    </w:rPr>
                    <w:t>мярка</w:t>
                  </w:r>
                </w:p>
              </w:tc>
              <w:tc>
                <w:tcPr>
                  <w:tcW w:w="1818" w:type="dxa"/>
                  <w:tcBorders>
                    <w:top w:val="single" w:sz="4" w:space="0" w:color="auto"/>
                    <w:left w:val="single" w:sz="4" w:space="0" w:color="auto"/>
                    <w:right w:val="single" w:sz="4" w:space="0" w:color="auto"/>
                  </w:tcBorders>
                  <w:shd w:val="clear" w:color="auto" w:fill="FFFFFF"/>
                  <w:vAlign w:val="bottom"/>
                </w:tcPr>
                <w:p w14:paraId="635BCE27"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rStyle w:val="21"/>
                      <w:sz w:val="20"/>
                      <w:szCs w:val="20"/>
                    </w:rPr>
                    <w:t>Периодичност на измерването и орган по контрол</w:t>
                  </w:r>
                </w:p>
              </w:tc>
            </w:tr>
            <w:tr w:rsidR="004C27E0" w:rsidRPr="00C422C8" w14:paraId="36224769" w14:textId="77777777" w:rsidTr="004C27E0">
              <w:trPr>
                <w:trHeight w:hRule="exact" w:val="1232"/>
                <w:jc w:val="center"/>
              </w:trPr>
              <w:tc>
                <w:tcPr>
                  <w:tcW w:w="1968" w:type="dxa"/>
                  <w:tcBorders>
                    <w:top w:val="single" w:sz="4" w:space="0" w:color="auto"/>
                    <w:left w:val="single" w:sz="4" w:space="0" w:color="auto"/>
                  </w:tcBorders>
                  <w:shd w:val="clear" w:color="auto" w:fill="FFFFFF"/>
                  <w:vAlign w:val="center"/>
                </w:tcPr>
                <w:p w14:paraId="38AA2123"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Контрол на замърсителите в атмосферния въздух</w:t>
                  </w:r>
                </w:p>
              </w:tc>
              <w:tc>
                <w:tcPr>
                  <w:tcW w:w="1789" w:type="dxa"/>
                  <w:tcBorders>
                    <w:top w:val="single" w:sz="4" w:space="0" w:color="auto"/>
                    <w:left w:val="single" w:sz="4" w:space="0" w:color="auto"/>
                  </w:tcBorders>
                  <w:shd w:val="clear" w:color="auto" w:fill="FFFFFF"/>
                  <w:vAlign w:val="bottom"/>
                </w:tcPr>
                <w:p w14:paraId="71C609CA"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Годишни, дневни, максимални пределни норми за качеството на въздуха</w:t>
                  </w:r>
                </w:p>
              </w:tc>
              <w:tc>
                <w:tcPr>
                  <w:tcW w:w="1081" w:type="dxa"/>
                  <w:tcBorders>
                    <w:top w:val="single" w:sz="4" w:space="0" w:color="auto"/>
                    <w:left w:val="single" w:sz="4" w:space="0" w:color="auto"/>
                  </w:tcBorders>
                  <w:shd w:val="clear" w:color="auto" w:fill="FFFFFF"/>
                </w:tcPr>
                <w:p w14:paraId="55726E90"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proofErr w:type="spellStart"/>
                  <w:r w:rsidRPr="00C422C8">
                    <w:rPr>
                      <w:sz w:val="20"/>
                      <w:szCs w:val="20"/>
                      <w:lang w:bidi="en-US"/>
                    </w:rPr>
                    <w:t>mg</w:t>
                  </w:r>
                  <w:proofErr w:type="spellEnd"/>
                  <w:r w:rsidRPr="00C422C8">
                    <w:rPr>
                      <w:sz w:val="20"/>
                      <w:szCs w:val="20"/>
                      <w:lang w:bidi="en-US"/>
                    </w:rPr>
                    <w:t>/m</w:t>
                  </w:r>
                  <w:r w:rsidRPr="00C422C8">
                    <w:rPr>
                      <w:sz w:val="20"/>
                      <w:szCs w:val="20"/>
                      <w:vertAlign w:val="superscript"/>
                      <w:lang w:bidi="en-US"/>
                    </w:rPr>
                    <w:t>3</w:t>
                  </w:r>
                </w:p>
              </w:tc>
              <w:tc>
                <w:tcPr>
                  <w:tcW w:w="1818" w:type="dxa"/>
                  <w:tcBorders>
                    <w:top w:val="single" w:sz="4" w:space="0" w:color="auto"/>
                    <w:left w:val="single" w:sz="4" w:space="0" w:color="auto"/>
                    <w:right w:val="single" w:sz="4" w:space="0" w:color="auto"/>
                  </w:tcBorders>
                  <w:shd w:val="clear" w:color="auto" w:fill="FFFFFF"/>
                  <w:vAlign w:val="center"/>
                </w:tcPr>
                <w:p w14:paraId="22085E9C"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Съответната РИОСВ</w:t>
                  </w:r>
                </w:p>
              </w:tc>
            </w:tr>
            <w:tr w:rsidR="004C27E0" w:rsidRPr="00C422C8" w14:paraId="6CD38C1D" w14:textId="77777777" w:rsidTr="004C27E0">
              <w:trPr>
                <w:trHeight w:hRule="exact" w:val="995"/>
                <w:jc w:val="center"/>
              </w:trPr>
              <w:tc>
                <w:tcPr>
                  <w:tcW w:w="1968" w:type="dxa"/>
                  <w:tcBorders>
                    <w:top w:val="single" w:sz="4" w:space="0" w:color="auto"/>
                    <w:left w:val="single" w:sz="4" w:space="0" w:color="auto"/>
                  </w:tcBorders>
                  <w:shd w:val="clear" w:color="auto" w:fill="FFFFFF"/>
                  <w:vAlign w:val="center"/>
                </w:tcPr>
                <w:p w14:paraId="5C1A5E96"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Контрол на водопотреблението</w:t>
                  </w:r>
                </w:p>
              </w:tc>
              <w:tc>
                <w:tcPr>
                  <w:tcW w:w="1789" w:type="dxa"/>
                  <w:tcBorders>
                    <w:top w:val="single" w:sz="4" w:space="0" w:color="auto"/>
                    <w:left w:val="single" w:sz="4" w:space="0" w:color="auto"/>
                  </w:tcBorders>
                  <w:shd w:val="clear" w:color="auto" w:fill="FFFFFF"/>
                  <w:vAlign w:val="center"/>
                </w:tcPr>
                <w:p w14:paraId="7AAB795B"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Консумирана вода</w:t>
                  </w:r>
                </w:p>
              </w:tc>
              <w:tc>
                <w:tcPr>
                  <w:tcW w:w="1081" w:type="dxa"/>
                  <w:tcBorders>
                    <w:top w:val="single" w:sz="4" w:space="0" w:color="auto"/>
                    <w:left w:val="single" w:sz="4" w:space="0" w:color="auto"/>
                  </w:tcBorders>
                  <w:shd w:val="clear" w:color="auto" w:fill="FFFFFF"/>
                </w:tcPr>
                <w:p w14:paraId="1F5B823C"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lang w:bidi="en-US"/>
                    </w:rPr>
                    <w:t>m</w:t>
                  </w:r>
                  <w:r w:rsidRPr="00C422C8">
                    <w:rPr>
                      <w:sz w:val="20"/>
                      <w:szCs w:val="20"/>
                      <w:vertAlign w:val="superscript"/>
                      <w:lang w:bidi="en-US"/>
                    </w:rPr>
                    <w:t>3</w:t>
                  </w:r>
                </w:p>
              </w:tc>
              <w:tc>
                <w:tcPr>
                  <w:tcW w:w="1818" w:type="dxa"/>
                  <w:tcBorders>
                    <w:top w:val="single" w:sz="4" w:space="0" w:color="auto"/>
                    <w:left w:val="single" w:sz="4" w:space="0" w:color="auto"/>
                    <w:right w:val="single" w:sz="4" w:space="0" w:color="auto"/>
                  </w:tcBorders>
                  <w:shd w:val="clear" w:color="auto" w:fill="FFFFFF"/>
                  <w:vAlign w:val="center"/>
                </w:tcPr>
                <w:p w14:paraId="149FFA1D"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ВиК оператор</w:t>
                  </w:r>
                </w:p>
                <w:p w14:paraId="584AD47E"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ДП „Пристанищна</w:t>
                  </w:r>
                </w:p>
                <w:p w14:paraId="49C6DB30"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инфраструктура“</w:t>
                  </w:r>
                </w:p>
              </w:tc>
            </w:tr>
            <w:tr w:rsidR="004C27E0" w:rsidRPr="00C422C8" w14:paraId="743B56BE" w14:textId="77777777" w:rsidTr="004C27E0">
              <w:trPr>
                <w:trHeight w:hRule="exact" w:val="1191"/>
                <w:jc w:val="center"/>
              </w:trPr>
              <w:tc>
                <w:tcPr>
                  <w:tcW w:w="1968" w:type="dxa"/>
                  <w:tcBorders>
                    <w:top w:val="single" w:sz="4" w:space="0" w:color="auto"/>
                    <w:left w:val="single" w:sz="4" w:space="0" w:color="auto"/>
                  </w:tcBorders>
                  <w:shd w:val="clear" w:color="auto" w:fill="FFFFFF"/>
                  <w:vAlign w:val="center"/>
                </w:tcPr>
                <w:p w14:paraId="0AB31FE9"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lastRenderedPageBreak/>
                    <w:t>Мониторинг на точковите източници на замърсяване</w:t>
                  </w:r>
                </w:p>
              </w:tc>
              <w:tc>
                <w:tcPr>
                  <w:tcW w:w="1789" w:type="dxa"/>
                  <w:tcBorders>
                    <w:top w:val="single" w:sz="4" w:space="0" w:color="auto"/>
                    <w:left w:val="single" w:sz="4" w:space="0" w:color="auto"/>
                  </w:tcBorders>
                  <w:shd w:val="clear" w:color="auto" w:fill="FFFFFF"/>
                </w:tcPr>
                <w:p w14:paraId="14DBEC5D"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Емисионни норми за допустимо съдържание на опасни вещества в отпадъчните води</w:t>
                  </w:r>
                </w:p>
              </w:tc>
              <w:tc>
                <w:tcPr>
                  <w:tcW w:w="1081" w:type="dxa"/>
                  <w:tcBorders>
                    <w:top w:val="single" w:sz="4" w:space="0" w:color="auto"/>
                    <w:left w:val="single" w:sz="4" w:space="0" w:color="auto"/>
                  </w:tcBorders>
                  <w:shd w:val="clear" w:color="auto" w:fill="FFFFFF"/>
                </w:tcPr>
                <w:p w14:paraId="54076089" w14:textId="77777777" w:rsidR="004C27E0" w:rsidRPr="00C422C8" w:rsidRDefault="004C27E0" w:rsidP="004C27E0">
                  <w:pPr>
                    <w:pStyle w:val="20"/>
                    <w:shd w:val="clear" w:color="auto" w:fill="auto"/>
                    <w:tabs>
                      <w:tab w:val="left" w:pos="1624"/>
                    </w:tabs>
                    <w:spacing w:after="60" w:line="240" w:lineRule="auto"/>
                    <w:ind w:firstLine="0"/>
                    <w:jc w:val="center"/>
                    <w:rPr>
                      <w:sz w:val="20"/>
                      <w:szCs w:val="20"/>
                    </w:rPr>
                  </w:pPr>
                  <w:proofErr w:type="spellStart"/>
                  <w:r w:rsidRPr="00C422C8">
                    <w:rPr>
                      <w:sz w:val="20"/>
                      <w:szCs w:val="20"/>
                      <w:lang w:bidi="en-US"/>
                    </w:rPr>
                    <w:t>mg</w:t>
                  </w:r>
                  <w:proofErr w:type="spellEnd"/>
                  <w:r w:rsidRPr="00C422C8">
                    <w:rPr>
                      <w:sz w:val="20"/>
                      <w:szCs w:val="20"/>
                      <w:lang w:bidi="en-US"/>
                    </w:rPr>
                    <w:t>/dm</w:t>
                  </w:r>
                  <w:r w:rsidRPr="00C422C8">
                    <w:rPr>
                      <w:sz w:val="20"/>
                      <w:szCs w:val="20"/>
                      <w:vertAlign w:val="superscript"/>
                      <w:lang w:bidi="en-US"/>
                    </w:rPr>
                    <w:t>3</w:t>
                  </w:r>
                  <w:r w:rsidRPr="00C422C8">
                    <w:rPr>
                      <w:sz w:val="20"/>
                      <w:szCs w:val="20"/>
                      <w:lang w:bidi="en-US"/>
                    </w:rPr>
                    <w:t>,</w:t>
                  </w:r>
                </w:p>
                <w:p w14:paraId="3A0F3CD0" w14:textId="77777777" w:rsidR="004C27E0" w:rsidRPr="00C422C8" w:rsidRDefault="004C27E0" w:rsidP="004C27E0">
                  <w:pPr>
                    <w:pStyle w:val="20"/>
                    <w:shd w:val="clear" w:color="auto" w:fill="auto"/>
                    <w:tabs>
                      <w:tab w:val="left" w:pos="1624"/>
                    </w:tabs>
                    <w:spacing w:before="60" w:line="240" w:lineRule="auto"/>
                    <w:ind w:firstLine="0"/>
                    <w:jc w:val="center"/>
                    <w:rPr>
                      <w:sz w:val="20"/>
                      <w:szCs w:val="20"/>
                    </w:rPr>
                  </w:pPr>
                  <w:proofErr w:type="spellStart"/>
                  <w:r w:rsidRPr="00C422C8">
                    <w:rPr>
                      <w:sz w:val="20"/>
                      <w:szCs w:val="20"/>
                      <w:lang w:bidi="en-US"/>
                    </w:rPr>
                    <w:t>pg</w:t>
                  </w:r>
                  <w:proofErr w:type="spellEnd"/>
                  <w:r w:rsidRPr="00C422C8">
                    <w:rPr>
                      <w:sz w:val="20"/>
                      <w:szCs w:val="20"/>
                      <w:lang w:bidi="en-US"/>
                    </w:rPr>
                    <w:t>/dm</w:t>
                  </w:r>
                  <w:r w:rsidRPr="00C422C8">
                    <w:rPr>
                      <w:sz w:val="20"/>
                      <w:szCs w:val="20"/>
                      <w:vertAlign w:val="superscript"/>
                      <w:lang w:bidi="en-US"/>
                    </w:rPr>
                    <w:t>3</w:t>
                  </w:r>
                </w:p>
              </w:tc>
              <w:tc>
                <w:tcPr>
                  <w:tcW w:w="1818" w:type="dxa"/>
                  <w:tcBorders>
                    <w:top w:val="single" w:sz="4" w:space="0" w:color="auto"/>
                    <w:left w:val="single" w:sz="4" w:space="0" w:color="auto"/>
                    <w:right w:val="single" w:sz="4" w:space="0" w:color="auto"/>
                  </w:tcBorders>
                  <w:shd w:val="clear" w:color="auto" w:fill="FFFFFF"/>
                </w:tcPr>
                <w:p w14:paraId="759CD79E"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РИОСВ</w:t>
                  </w:r>
                </w:p>
                <w:p w14:paraId="1D08C35C" w14:textId="122E628F"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ДП „Пристанищна инфраструктура“</w:t>
                  </w:r>
                </w:p>
              </w:tc>
            </w:tr>
            <w:tr w:rsidR="004C27E0" w:rsidRPr="00C422C8" w14:paraId="35677761" w14:textId="77777777" w:rsidTr="004C27E0">
              <w:trPr>
                <w:trHeight w:hRule="exact" w:val="1569"/>
                <w:jc w:val="center"/>
              </w:trPr>
              <w:tc>
                <w:tcPr>
                  <w:tcW w:w="1968" w:type="dxa"/>
                  <w:tcBorders>
                    <w:top w:val="single" w:sz="4" w:space="0" w:color="auto"/>
                    <w:left w:val="single" w:sz="4" w:space="0" w:color="auto"/>
                  </w:tcBorders>
                  <w:shd w:val="clear" w:color="auto" w:fill="FFFFFF"/>
                </w:tcPr>
                <w:p w14:paraId="237BAB50"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Пречистване на отпадъчните води</w:t>
                  </w:r>
                </w:p>
              </w:tc>
              <w:tc>
                <w:tcPr>
                  <w:tcW w:w="1789" w:type="dxa"/>
                  <w:tcBorders>
                    <w:top w:val="single" w:sz="4" w:space="0" w:color="auto"/>
                    <w:left w:val="single" w:sz="4" w:space="0" w:color="auto"/>
                  </w:tcBorders>
                  <w:shd w:val="clear" w:color="auto" w:fill="FFFFFF"/>
                  <w:vAlign w:val="bottom"/>
                </w:tcPr>
                <w:p w14:paraId="5A67F24E"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Отношение на количеството на пречистени отпадъчни води към общото количество на отпадъчните води</w:t>
                  </w:r>
                </w:p>
              </w:tc>
              <w:tc>
                <w:tcPr>
                  <w:tcW w:w="1081" w:type="dxa"/>
                  <w:tcBorders>
                    <w:top w:val="single" w:sz="4" w:space="0" w:color="auto"/>
                    <w:left w:val="single" w:sz="4" w:space="0" w:color="auto"/>
                  </w:tcBorders>
                  <w:shd w:val="clear" w:color="auto" w:fill="FFFFFF"/>
                </w:tcPr>
                <w:p w14:paraId="60C776CC"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lang w:bidi="en-US"/>
                    </w:rPr>
                    <w:t>%</w:t>
                  </w:r>
                </w:p>
              </w:tc>
              <w:tc>
                <w:tcPr>
                  <w:tcW w:w="1818" w:type="dxa"/>
                  <w:tcBorders>
                    <w:top w:val="single" w:sz="4" w:space="0" w:color="auto"/>
                    <w:left w:val="single" w:sz="4" w:space="0" w:color="auto"/>
                    <w:right w:val="single" w:sz="4" w:space="0" w:color="auto"/>
                  </w:tcBorders>
                  <w:shd w:val="clear" w:color="auto" w:fill="FFFFFF"/>
                </w:tcPr>
                <w:p w14:paraId="5F254F7E" w14:textId="05A873EF"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ДГ1 „Пристанищна инфраструктура“</w:t>
                  </w:r>
                </w:p>
              </w:tc>
            </w:tr>
            <w:tr w:rsidR="004C27E0" w:rsidRPr="00C422C8" w14:paraId="65CB3C67" w14:textId="77777777" w:rsidTr="004C27E0">
              <w:trPr>
                <w:trHeight w:hRule="exact" w:val="2140"/>
                <w:jc w:val="center"/>
              </w:trPr>
              <w:tc>
                <w:tcPr>
                  <w:tcW w:w="1968" w:type="dxa"/>
                  <w:tcBorders>
                    <w:top w:val="single" w:sz="4" w:space="0" w:color="auto"/>
                    <w:left w:val="single" w:sz="4" w:space="0" w:color="auto"/>
                    <w:bottom w:val="single" w:sz="4" w:space="0" w:color="auto"/>
                  </w:tcBorders>
                  <w:shd w:val="clear" w:color="auto" w:fill="FFFFFF"/>
                </w:tcPr>
                <w:p w14:paraId="5D5B9F93"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Оформяне на прилежащите пространства на техническата и транспортната инфраструктура</w:t>
                  </w:r>
                </w:p>
              </w:tc>
              <w:tc>
                <w:tcPr>
                  <w:tcW w:w="1789" w:type="dxa"/>
                  <w:tcBorders>
                    <w:top w:val="single" w:sz="4" w:space="0" w:color="auto"/>
                    <w:left w:val="single" w:sz="4" w:space="0" w:color="auto"/>
                    <w:bottom w:val="single" w:sz="4" w:space="0" w:color="auto"/>
                  </w:tcBorders>
                  <w:shd w:val="clear" w:color="auto" w:fill="FFFFFF"/>
                  <w:vAlign w:val="bottom"/>
                </w:tcPr>
                <w:p w14:paraId="1F05B45A" w14:textId="77C384BF"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Повишаване на естетическата стойност на територията, чрез намаляване на визуалните въздействия на техническата   инфраструктура</w:t>
                  </w:r>
                </w:p>
              </w:tc>
              <w:tc>
                <w:tcPr>
                  <w:tcW w:w="1081" w:type="dxa"/>
                  <w:tcBorders>
                    <w:top w:val="single" w:sz="4" w:space="0" w:color="auto"/>
                    <w:left w:val="single" w:sz="4" w:space="0" w:color="auto"/>
                    <w:bottom w:val="single" w:sz="4" w:space="0" w:color="auto"/>
                  </w:tcBorders>
                  <w:shd w:val="clear" w:color="auto" w:fill="FFFFFF"/>
                </w:tcPr>
                <w:p w14:paraId="38E4B464"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lang w:bidi="en-US"/>
                    </w:rPr>
                    <w:t>m</w:t>
                  </w:r>
                  <w:r w:rsidRPr="00C422C8">
                    <w:rPr>
                      <w:sz w:val="20"/>
                      <w:szCs w:val="20"/>
                      <w:vertAlign w:val="superscript"/>
                      <w:lang w:bidi="en-US"/>
                    </w:rPr>
                    <w:t>2</w:t>
                  </w: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38E9360C" w14:textId="7777777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ДП „Пристанищна инфраструктура“</w:t>
                  </w:r>
                </w:p>
              </w:tc>
            </w:tr>
            <w:tr w:rsidR="004C27E0" w:rsidRPr="00C422C8" w14:paraId="4ABBE4C9" w14:textId="77777777" w:rsidTr="004C27E0">
              <w:trPr>
                <w:trHeight w:hRule="exact" w:val="1856"/>
                <w:jc w:val="center"/>
              </w:trPr>
              <w:tc>
                <w:tcPr>
                  <w:tcW w:w="1968" w:type="dxa"/>
                  <w:tcBorders>
                    <w:top w:val="single" w:sz="4" w:space="0" w:color="auto"/>
                    <w:left w:val="single" w:sz="4" w:space="0" w:color="auto"/>
                    <w:bottom w:val="single" w:sz="4" w:space="0" w:color="auto"/>
                  </w:tcBorders>
                  <w:shd w:val="clear" w:color="auto" w:fill="FFFFFF"/>
                  <w:vAlign w:val="bottom"/>
                </w:tcPr>
                <w:p w14:paraId="3A5A3DB1" w14:textId="27505326"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 xml:space="preserve">Наблюдение на местата </w:t>
                  </w:r>
                  <w:r w:rsidRPr="00C422C8">
                    <w:rPr>
                      <w:sz w:val="20"/>
                      <w:szCs w:val="20"/>
                      <w:lang w:bidi="en-US"/>
                    </w:rPr>
                    <w:t xml:space="preserve">c </w:t>
                  </w:r>
                  <w:r w:rsidRPr="00C422C8">
                    <w:rPr>
                      <w:sz w:val="20"/>
                      <w:szCs w:val="20"/>
                    </w:rPr>
                    <w:t xml:space="preserve">най-голям риск от поява на ерозия и </w:t>
                  </w:r>
                  <w:proofErr w:type="spellStart"/>
                  <w:r w:rsidRPr="00C422C8">
                    <w:rPr>
                      <w:sz w:val="20"/>
                      <w:szCs w:val="20"/>
                    </w:rPr>
                    <w:t>свлачищни</w:t>
                  </w:r>
                  <w:proofErr w:type="spellEnd"/>
                  <w:r w:rsidRPr="00C422C8">
                    <w:rPr>
                      <w:sz w:val="20"/>
                      <w:szCs w:val="20"/>
                    </w:rPr>
                    <w:t xml:space="preserve"> процеси в резултат на строителни дейности и набелязани конкретни залесителни и технически мероприятия.</w:t>
                  </w:r>
                </w:p>
              </w:tc>
              <w:tc>
                <w:tcPr>
                  <w:tcW w:w="1789" w:type="dxa"/>
                  <w:tcBorders>
                    <w:top w:val="single" w:sz="4" w:space="0" w:color="auto"/>
                    <w:left w:val="single" w:sz="4" w:space="0" w:color="auto"/>
                    <w:bottom w:val="single" w:sz="4" w:space="0" w:color="auto"/>
                  </w:tcBorders>
                  <w:shd w:val="clear" w:color="auto" w:fill="FFFFFF"/>
                </w:tcPr>
                <w:p w14:paraId="4F9295A5"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t>Площи</w:t>
                  </w:r>
                </w:p>
                <w:p w14:paraId="32FD75BC" w14:textId="4583C7AA"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 xml:space="preserve">предразположени към развитие на ерозия и </w:t>
                  </w:r>
                  <w:proofErr w:type="spellStart"/>
                  <w:r w:rsidRPr="00C422C8">
                    <w:rPr>
                      <w:sz w:val="20"/>
                      <w:szCs w:val="20"/>
                    </w:rPr>
                    <w:t>свлачищни</w:t>
                  </w:r>
                  <w:proofErr w:type="spellEnd"/>
                  <w:r w:rsidRPr="00C422C8">
                    <w:rPr>
                      <w:sz w:val="20"/>
                      <w:szCs w:val="20"/>
                    </w:rPr>
                    <w:t xml:space="preserve"> процеси</w:t>
                  </w:r>
                </w:p>
              </w:tc>
              <w:tc>
                <w:tcPr>
                  <w:tcW w:w="1081" w:type="dxa"/>
                  <w:tcBorders>
                    <w:top w:val="single" w:sz="4" w:space="0" w:color="auto"/>
                    <w:left w:val="single" w:sz="4" w:space="0" w:color="auto"/>
                    <w:bottom w:val="single" w:sz="4" w:space="0" w:color="auto"/>
                  </w:tcBorders>
                  <w:shd w:val="clear" w:color="auto" w:fill="FFFFFF"/>
                </w:tcPr>
                <w:p w14:paraId="409A7D3F" w14:textId="4918A1D1" w:rsidR="004C27E0" w:rsidRPr="00C422C8" w:rsidRDefault="004C27E0" w:rsidP="004C27E0">
                  <w:pPr>
                    <w:pStyle w:val="20"/>
                    <w:shd w:val="clear" w:color="auto" w:fill="auto"/>
                    <w:tabs>
                      <w:tab w:val="left" w:pos="1624"/>
                    </w:tabs>
                    <w:spacing w:line="240" w:lineRule="auto"/>
                    <w:ind w:firstLine="0"/>
                    <w:jc w:val="center"/>
                    <w:rPr>
                      <w:sz w:val="20"/>
                      <w:szCs w:val="20"/>
                      <w:lang w:bidi="en-US"/>
                    </w:rPr>
                  </w:pPr>
                  <w:r w:rsidRPr="00C422C8">
                    <w:rPr>
                      <w:sz w:val="20"/>
                      <w:szCs w:val="20"/>
                      <w:lang w:bidi="en-US"/>
                    </w:rPr>
                    <w:t>m</w:t>
                  </w:r>
                  <w:r w:rsidRPr="00C422C8">
                    <w:rPr>
                      <w:sz w:val="20"/>
                      <w:szCs w:val="20"/>
                      <w:vertAlign w:val="superscript"/>
                    </w:rPr>
                    <w:t xml:space="preserve"> 2</w:t>
                  </w: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01C3AC76" w14:textId="3567A258"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ДП “Пристанищна инфраструктура“</w:t>
                  </w:r>
                </w:p>
              </w:tc>
            </w:tr>
            <w:tr w:rsidR="004C27E0" w:rsidRPr="00C422C8" w14:paraId="69495194" w14:textId="77777777" w:rsidTr="004C27E0">
              <w:trPr>
                <w:trHeight w:hRule="exact" w:val="1856"/>
                <w:jc w:val="center"/>
              </w:trPr>
              <w:tc>
                <w:tcPr>
                  <w:tcW w:w="1968" w:type="dxa"/>
                  <w:tcBorders>
                    <w:top w:val="single" w:sz="4" w:space="0" w:color="auto"/>
                    <w:left w:val="single" w:sz="4" w:space="0" w:color="auto"/>
                    <w:bottom w:val="single" w:sz="4" w:space="0" w:color="auto"/>
                  </w:tcBorders>
                  <w:shd w:val="clear" w:color="auto" w:fill="FFFFFF"/>
                </w:tcPr>
                <w:p w14:paraId="36F2F6AE"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lastRenderedPageBreak/>
                    <w:t>Контрол на шумовите нива,</w:t>
                  </w:r>
                </w:p>
                <w:p w14:paraId="5C72054E" w14:textId="21EE3EEA"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електромагнитните полета и при необходимост радиационната обстановка.</w:t>
                  </w:r>
                </w:p>
              </w:tc>
              <w:tc>
                <w:tcPr>
                  <w:tcW w:w="1789" w:type="dxa"/>
                  <w:tcBorders>
                    <w:top w:val="single" w:sz="4" w:space="0" w:color="auto"/>
                    <w:left w:val="single" w:sz="4" w:space="0" w:color="auto"/>
                    <w:bottom w:val="single" w:sz="4" w:space="0" w:color="auto"/>
                  </w:tcBorders>
                  <w:shd w:val="clear" w:color="auto" w:fill="FFFFFF"/>
                </w:tcPr>
                <w:p w14:paraId="1D426358" w14:textId="1C183A1A" w:rsidR="004C27E0" w:rsidRPr="00C422C8" w:rsidRDefault="004C27E0" w:rsidP="004C27E0">
                  <w:pPr>
                    <w:pStyle w:val="20"/>
                    <w:shd w:val="clear" w:color="auto" w:fill="auto"/>
                    <w:spacing w:after="120" w:line="240" w:lineRule="auto"/>
                    <w:ind w:firstLine="0"/>
                    <w:jc w:val="center"/>
                    <w:rPr>
                      <w:sz w:val="20"/>
                      <w:szCs w:val="20"/>
                    </w:rPr>
                  </w:pPr>
                  <w:r w:rsidRPr="00C422C8">
                    <w:rPr>
                      <w:sz w:val="20"/>
                      <w:szCs w:val="20"/>
                    </w:rPr>
                    <w:t>Регистрирани превишения</w:t>
                  </w:r>
                </w:p>
              </w:tc>
              <w:tc>
                <w:tcPr>
                  <w:tcW w:w="1081" w:type="dxa"/>
                  <w:tcBorders>
                    <w:top w:val="single" w:sz="4" w:space="0" w:color="auto"/>
                    <w:left w:val="single" w:sz="4" w:space="0" w:color="auto"/>
                    <w:bottom w:val="single" w:sz="4" w:space="0" w:color="auto"/>
                  </w:tcBorders>
                  <w:shd w:val="clear" w:color="auto" w:fill="FFFFFF"/>
                </w:tcPr>
                <w:p w14:paraId="0BE31A02"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t>Бр.</w:t>
                  </w:r>
                </w:p>
                <w:p w14:paraId="22698589"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t>регистрирани</w:t>
                  </w:r>
                </w:p>
                <w:p w14:paraId="16E9F0ED" w14:textId="4534A532" w:rsidR="004C27E0" w:rsidRPr="00C422C8" w:rsidRDefault="004C27E0" w:rsidP="004C27E0">
                  <w:pPr>
                    <w:pStyle w:val="20"/>
                    <w:shd w:val="clear" w:color="auto" w:fill="auto"/>
                    <w:tabs>
                      <w:tab w:val="left" w:pos="1624"/>
                    </w:tabs>
                    <w:spacing w:line="240" w:lineRule="auto"/>
                    <w:ind w:firstLine="0"/>
                    <w:jc w:val="center"/>
                    <w:rPr>
                      <w:sz w:val="20"/>
                      <w:szCs w:val="20"/>
                      <w:lang w:bidi="en-US"/>
                    </w:rPr>
                  </w:pPr>
                  <w:r w:rsidRPr="00C422C8">
                    <w:rPr>
                      <w:sz w:val="20"/>
                      <w:szCs w:val="20"/>
                    </w:rPr>
                    <w:t>завишения</w:t>
                  </w:r>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27CC724A" w14:textId="0FB2537F"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Съответните РИОСВ, съответните РЗИ и общински администрации</w:t>
                  </w:r>
                </w:p>
              </w:tc>
            </w:tr>
            <w:tr w:rsidR="004C27E0" w:rsidRPr="00C422C8" w14:paraId="2FC6C6C0" w14:textId="77777777" w:rsidTr="004C27E0">
              <w:trPr>
                <w:trHeight w:hRule="exact" w:val="1856"/>
                <w:jc w:val="center"/>
              </w:trPr>
              <w:tc>
                <w:tcPr>
                  <w:tcW w:w="1968" w:type="dxa"/>
                  <w:tcBorders>
                    <w:top w:val="single" w:sz="4" w:space="0" w:color="auto"/>
                    <w:left w:val="single" w:sz="4" w:space="0" w:color="auto"/>
                    <w:bottom w:val="single" w:sz="4" w:space="0" w:color="auto"/>
                  </w:tcBorders>
                  <w:shd w:val="clear" w:color="auto" w:fill="FFFFFF"/>
                  <w:vAlign w:val="bottom"/>
                </w:tcPr>
                <w:p w14:paraId="56E6EBB0" w14:textId="4739EAEE"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Осигуряване на безопасни разстояния при разполагане на съоръжения с нисък или висок рисков потенциал, и на обекти в близост до тях.</w:t>
                  </w:r>
                </w:p>
              </w:tc>
              <w:tc>
                <w:tcPr>
                  <w:tcW w:w="1789" w:type="dxa"/>
                  <w:tcBorders>
                    <w:top w:val="single" w:sz="4" w:space="0" w:color="auto"/>
                    <w:left w:val="single" w:sz="4" w:space="0" w:color="auto"/>
                    <w:bottom w:val="single" w:sz="4" w:space="0" w:color="auto"/>
                  </w:tcBorders>
                  <w:shd w:val="clear" w:color="auto" w:fill="FFFFFF"/>
                </w:tcPr>
                <w:p w14:paraId="73ECA177" w14:textId="13F6845B"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Разположение на нови съоръжения с нисък и висок рисков потенциал</w:t>
                  </w:r>
                </w:p>
              </w:tc>
              <w:tc>
                <w:tcPr>
                  <w:tcW w:w="1081" w:type="dxa"/>
                  <w:tcBorders>
                    <w:top w:val="single" w:sz="4" w:space="0" w:color="auto"/>
                    <w:left w:val="single" w:sz="4" w:space="0" w:color="auto"/>
                    <w:bottom w:val="single" w:sz="4" w:space="0" w:color="auto"/>
                  </w:tcBorders>
                  <w:shd w:val="clear" w:color="auto" w:fill="FFFFFF"/>
                </w:tcPr>
                <w:p w14:paraId="73404D01"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t>Безопасни</w:t>
                  </w:r>
                </w:p>
                <w:p w14:paraId="04D7172D" w14:textId="77777777" w:rsidR="004C27E0" w:rsidRPr="00C422C8" w:rsidRDefault="004C27E0" w:rsidP="004C27E0">
                  <w:pPr>
                    <w:pStyle w:val="20"/>
                    <w:shd w:val="clear" w:color="auto" w:fill="auto"/>
                    <w:spacing w:line="240" w:lineRule="auto"/>
                    <w:ind w:firstLine="0"/>
                    <w:jc w:val="center"/>
                    <w:rPr>
                      <w:sz w:val="20"/>
                      <w:szCs w:val="20"/>
                    </w:rPr>
                  </w:pPr>
                  <w:r w:rsidRPr="00C422C8">
                    <w:rPr>
                      <w:sz w:val="20"/>
                      <w:szCs w:val="20"/>
                    </w:rPr>
                    <w:t>разстояния.</w:t>
                  </w:r>
                </w:p>
                <w:p w14:paraId="57FB4CF6" w14:textId="4AA0DDE8" w:rsidR="004C27E0" w:rsidRPr="00C422C8" w:rsidRDefault="004C27E0" w:rsidP="004C27E0">
                  <w:pPr>
                    <w:pStyle w:val="20"/>
                    <w:shd w:val="clear" w:color="auto" w:fill="auto"/>
                    <w:tabs>
                      <w:tab w:val="left" w:pos="1624"/>
                    </w:tabs>
                    <w:spacing w:line="240" w:lineRule="auto"/>
                    <w:ind w:firstLine="0"/>
                    <w:jc w:val="center"/>
                    <w:rPr>
                      <w:sz w:val="20"/>
                      <w:szCs w:val="20"/>
                      <w:lang w:bidi="en-US"/>
                    </w:rPr>
                  </w:pPr>
                  <w:proofErr w:type="spellStart"/>
                  <w:r w:rsidRPr="00C422C8">
                    <w:rPr>
                      <w:sz w:val="20"/>
                      <w:szCs w:val="20"/>
                      <w:lang w:bidi="en-US"/>
                    </w:rPr>
                    <w:t>km</w:t>
                  </w:r>
                  <w:proofErr w:type="spellEnd"/>
                </w:p>
              </w:tc>
              <w:tc>
                <w:tcPr>
                  <w:tcW w:w="1818" w:type="dxa"/>
                  <w:tcBorders>
                    <w:top w:val="single" w:sz="4" w:space="0" w:color="auto"/>
                    <w:left w:val="single" w:sz="4" w:space="0" w:color="auto"/>
                    <w:bottom w:val="single" w:sz="4" w:space="0" w:color="auto"/>
                    <w:right w:val="single" w:sz="4" w:space="0" w:color="auto"/>
                  </w:tcBorders>
                  <w:shd w:val="clear" w:color="auto" w:fill="FFFFFF"/>
                </w:tcPr>
                <w:p w14:paraId="5EC46796" w14:textId="186DEED7" w:rsidR="004C27E0" w:rsidRPr="00C422C8" w:rsidRDefault="004C27E0" w:rsidP="004C27E0">
                  <w:pPr>
                    <w:pStyle w:val="20"/>
                    <w:shd w:val="clear" w:color="auto" w:fill="auto"/>
                    <w:tabs>
                      <w:tab w:val="left" w:pos="1624"/>
                    </w:tabs>
                    <w:spacing w:line="240" w:lineRule="auto"/>
                    <w:ind w:firstLine="0"/>
                    <w:jc w:val="center"/>
                    <w:rPr>
                      <w:sz w:val="20"/>
                      <w:szCs w:val="20"/>
                    </w:rPr>
                  </w:pPr>
                  <w:r w:rsidRPr="00C422C8">
                    <w:rPr>
                      <w:sz w:val="20"/>
                      <w:szCs w:val="20"/>
                    </w:rPr>
                    <w:t>Съответните РИОСВ и общински администрации ДП „Пристанищна инфраструктура“</w:t>
                  </w:r>
                </w:p>
              </w:tc>
            </w:tr>
          </w:tbl>
          <w:p w14:paraId="6C95A56F" w14:textId="77777777" w:rsidR="004C27E0" w:rsidRPr="00C422C8" w:rsidRDefault="004C27E0" w:rsidP="004C27E0">
            <w:pPr>
              <w:pStyle w:val="ListParagraph"/>
              <w:tabs>
                <w:tab w:val="left" w:pos="1624"/>
              </w:tabs>
              <w:ind w:left="13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D9298C0" w14:textId="77777777" w:rsidR="004C27E0" w:rsidRPr="00C422C8" w:rsidRDefault="004C27E0" w:rsidP="00A62945">
            <w:pPr>
              <w:tabs>
                <w:tab w:val="left" w:pos="348"/>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3.</w:t>
            </w:r>
            <w:r w:rsidRPr="00C422C8">
              <w:rPr>
                <w:rFonts w:ascii="Times New Roman" w:hAnsi="Times New Roman" w:cs="Times New Roman"/>
              </w:rPr>
              <w:tab/>
              <w:t>При констатирани неблагоприятни последствия върху околната среда да се</w:t>
            </w:r>
          </w:p>
          <w:p w14:paraId="7BFB0BE3" w14:textId="77777777" w:rsidR="004C27E0" w:rsidRPr="00C422C8" w:rsidRDefault="004C27E0" w:rsidP="004C27E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предложат и предприемат своевременни мерки за възможното им отстраняване.</w:t>
            </w:r>
          </w:p>
          <w:p w14:paraId="6903F355" w14:textId="77777777" w:rsidR="004C27E0" w:rsidRPr="00C422C8" w:rsidRDefault="004C27E0" w:rsidP="004C27E0">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i/>
                <w:iCs/>
              </w:rPr>
            </w:pPr>
            <w:r w:rsidRPr="00C422C8">
              <w:rPr>
                <w:rFonts w:ascii="Times New Roman" w:hAnsi="Times New Roman" w:cs="Times New Roman"/>
                <w:b/>
                <w:bCs/>
                <w:i/>
                <w:iCs/>
              </w:rPr>
              <w:t>III.</w:t>
            </w:r>
            <w:r w:rsidRPr="00C422C8">
              <w:rPr>
                <w:rFonts w:ascii="Times New Roman" w:hAnsi="Times New Roman" w:cs="Times New Roman"/>
                <w:b/>
                <w:bCs/>
                <w:i/>
                <w:iCs/>
              </w:rPr>
              <w:tab/>
              <w:t>Указания за последващите действия, които да се предприемат по процедурата по ЕО за проект на Генерален план на пристанище за обществен транспорт Русе:</w:t>
            </w:r>
          </w:p>
          <w:p w14:paraId="579AE50F" w14:textId="15D458BD" w:rsidR="004C27E0" w:rsidRPr="00C422C8" w:rsidRDefault="004C27E0" w:rsidP="00A62945">
            <w:pPr>
              <w:tabs>
                <w:tab w:val="left" w:pos="20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1.</w:t>
            </w:r>
            <w:r w:rsidRPr="00C422C8">
              <w:rPr>
                <w:rFonts w:ascii="Times New Roman" w:hAnsi="Times New Roman" w:cs="Times New Roman"/>
              </w:rPr>
              <w:tab/>
            </w:r>
            <w:r w:rsidR="00A62945" w:rsidRPr="00C422C8">
              <w:rPr>
                <w:rFonts w:ascii="Times New Roman" w:hAnsi="Times New Roman" w:cs="Times New Roman"/>
              </w:rPr>
              <w:t xml:space="preserve">  </w:t>
            </w:r>
            <w:r w:rsidRPr="00C422C8">
              <w:rPr>
                <w:rFonts w:ascii="Times New Roman" w:hAnsi="Times New Roman" w:cs="Times New Roman"/>
              </w:rPr>
              <w:t xml:space="preserve">Съгласно разпоредбата на чл. 20, ал. 8 от Наредбата за условията и реда за извършване на екологична оценка на планове и програми (Наредбата за ЕО), в срок до 14 дни от получаване на настоящото писмо следва да съгласувате предложените в т. II мерки по наблюдение и контрол при прилагането на Генералния план на пристанище за обществен транспорт Русе. В случай, че </w:t>
            </w:r>
            <w:r w:rsidRPr="00C422C8">
              <w:rPr>
                <w:rFonts w:ascii="Times New Roman" w:hAnsi="Times New Roman" w:cs="Times New Roman"/>
              </w:rPr>
              <w:lastRenderedPageBreak/>
              <w:t>в поставения срок не представите Ваше становище, се счита, че мерките са съгласувани.</w:t>
            </w:r>
          </w:p>
          <w:p w14:paraId="457745BF" w14:textId="282F809A" w:rsidR="004C27E0" w:rsidRPr="00C422C8" w:rsidRDefault="004C27E0" w:rsidP="00C422C8">
            <w:pPr>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C422C8">
              <w:rPr>
                <w:rFonts w:ascii="Times New Roman" w:hAnsi="Times New Roman" w:cs="Times New Roman"/>
              </w:rPr>
              <w:t>2.</w:t>
            </w:r>
            <w:r w:rsidRPr="00C422C8">
              <w:rPr>
                <w:rFonts w:ascii="Times New Roman" w:hAnsi="Times New Roman" w:cs="Times New Roman"/>
              </w:rPr>
              <w:tab/>
              <w:t>След отразяване на всички резултати от консултациите по доклада за ЕО следва да внесете в МОСВ окомплектовано искане за издаване на становище по ЕО по смисъла на чл. 23, ал. 1 от Наредбата за ЕО. Обръщаме внимание, че в случай, че в резултат на консултациите, е необходимо да бъдат разгледани и оценени други алтернативи, мнения или предложения към проекта на Генерален план на пристанище за обществен транспорт Русе, следва да възложите допълване на доклада за ЕО или да прецените възможността от продължаване на консултациите. Мотивите за възлагане/отказ от възлагане на допълване на доклада за ЕО или преценяването за продължаване на консултациите е необходимо да бъдат включени в документацията по чл. 23, ал. 1 от Наредбата за ЕО</w:t>
            </w:r>
            <w:r w:rsidR="00C422C8" w:rsidRPr="00C422C8">
              <w:rPr>
                <w:rFonts w:ascii="Times New Roman" w:hAnsi="Times New Roman" w:cs="Times New Roman"/>
              </w:rPr>
              <w:t>.</w:t>
            </w:r>
          </w:p>
        </w:tc>
        <w:tc>
          <w:tcPr>
            <w:tcW w:w="2191" w:type="dxa"/>
          </w:tcPr>
          <w:p w14:paraId="13D156B7" w14:textId="77777777" w:rsidR="00872585" w:rsidRDefault="00872585" w:rsidP="00872585">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621D02E"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7929DE8"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9468D97"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BAA7097"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4D4A370"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16F485F"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3A11AB9"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B0614CC"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8AE39A1"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948206E"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E0ACDA9" w14:textId="352C702A" w:rsidR="00B5287D" w:rsidRDefault="00E11075"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 извършената в т. 6.1.1 са нанесени съответните ревизии</w:t>
            </w:r>
          </w:p>
          <w:p w14:paraId="35ACBB03"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7B02E7F"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D3531FA"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75A6CC6"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496F9EE"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510E345"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7624E8"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4DAAC4"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67835CA"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EB84E08"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9C3EF33"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F5C56E3"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926FEEF"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F9282AC"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5E93391"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31AF7A0"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3064D66" w14:textId="23195ECE" w:rsidR="00B5287D" w:rsidRDefault="00E11075"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В ДЕО е включена информация и е оценено потенциалното позитивно въздействие на изпълнението на Плана </w:t>
            </w:r>
            <w:r w:rsidR="00360569">
              <w:rPr>
                <w:rFonts w:ascii="Times New Roman" w:hAnsi="Times New Roman" w:cs="Times New Roman"/>
              </w:rPr>
              <w:t>върху изменението на климата</w:t>
            </w:r>
          </w:p>
          <w:p w14:paraId="6BA66D35"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F96F673"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483C688"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3474ACB"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ED46CC4"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435DFAB"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2DA1D7F"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901E88D"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69B5587"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39A820C"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FD93BC3"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9362368" w14:textId="69B3A2B7" w:rsidR="00B5287D" w:rsidRDefault="007509D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64560">
              <w:rPr>
                <w:rFonts w:ascii="Times New Roman" w:hAnsi="Times New Roman" w:cs="Times New Roman"/>
                <w:color w:val="000000" w:themeColor="text1"/>
              </w:rPr>
              <w:t>Предложението е отразено</w:t>
            </w:r>
            <w:r w:rsidR="00B5287D" w:rsidRPr="00064560">
              <w:rPr>
                <w:rFonts w:ascii="Times New Roman" w:hAnsi="Times New Roman" w:cs="Times New Roman"/>
              </w:rPr>
              <w:t xml:space="preserve"> </w:t>
            </w:r>
            <w:r w:rsidR="00405DE6" w:rsidRPr="00064560">
              <w:rPr>
                <w:rFonts w:ascii="Times New Roman" w:hAnsi="Times New Roman" w:cs="Times New Roman"/>
              </w:rPr>
              <w:t xml:space="preserve">- </w:t>
            </w:r>
            <w:r w:rsidR="00B5287D" w:rsidRPr="00064560">
              <w:rPr>
                <w:rFonts w:ascii="Times New Roman" w:hAnsi="Times New Roman" w:cs="Times New Roman"/>
              </w:rPr>
              <w:lastRenderedPageBreak/>
              <w:t>добавено информация и препратка към таблица 46</w:t>
            </w:r>
          </w:p>
          <w:p w14:paraId="77116C3F" w14:textId="77777777" w:rsidR="00B5287D" w:rsidRDefault="00B5287D"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334D69C7" w14:textId="77777777" w:rsidR="00405DE6" w:rsidRDefault="00405DE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028615C" w14:textId="77777777" w:rsidR="00405DE6" w:rsidRDefault="007509D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064560">
              <w:rPr>
                <w:rFonts w:ascii="Times New Roman" w:hAnsi="Times New Roman" w:cs="Times New Roman"/>
                <w:color w:val="000000" w:themeColor="text1"/>
              </w:rPr>
              <w:t>Предложението е отразено</w:t>
            </w:r>
            <w:r w:rsidR="00405DE6" w:rsidRPr="00064560">
              <w:rPr>
                <w:rFonts w:ascii="Times New Roman" w:hAnsi="Times New Roman" w:cs="Times New Roman"/>
              </w:rPr>
              <w:t xml:space="preserve"> – добавена информация в колона „Развитие на идентифицираните екологични проблеми с отношение към Генералния план без прилагането на същия".</w:t>
            </w:r>
          </w:p>
          <w:p w14:paraId="7FD518B2" w14:textId="77777777" w:rsidR="00360569"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Направена е необходимата корекция</w:t>
            </w:r>
          </w:p>
          <w:p w14:paraId="75F940E0"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A5E82E3"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9F6265A"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50D443F2"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D9776FE"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6D6A9EE"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362F579"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1D9BB9D1"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401EB9B0" w14:textId="77777777" w:rsidR="007C2406" w:rsidRDefault="007C2406"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920C883" w14:textId="77777777" w:rsidR="007C2406"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Текстът е отстранен</w:t>
            </w:r>
          </w:p>
          <w:p w14:paraId="42E3B2D8"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577747"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Становището не съдържа предложения и препоръки по отношение ДЕО.</w:t>
            </w:r>
          </w:p>
          <w:p w14:paraId="3D0C295F"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7D00B55"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2939E89"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6CA80652"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8C171FA" w14:textId="77777777" w:rsidR="001F05B9"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BBB96D1" w14:textId="0293125A" w:rsidR="001F05B9" w:rsidRPr="00B5287D" w:rsidRDefault="001F05B9" w:rsidP="00B5287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Pr>
                <w:rFonts w:ascii="Times New Roman" w:hAnsi="Times New Roman" w:cs="Times New Roman"/>
              </w:rPr>
              <w:t>Всички предложения и препоръки на МЗ са отразени, което може да се види от настоящата справка – виж по-горе в таблицата.</w:t>
            </w:r>
          </w:p>
        </w:tc>
      </w:tr>
      <w:tr w:rsidR="00F94B18" w:rsidRPr="00C422C8" w14:paraId="41F963C7" w14:textId="77777777" w:rsidTr="00F94B18">
        <w:trPr>
          <w:cnfStyle w:val="000000100000" w:firstRow="0" w:lastRow="0" w:firstColumn="0" w:lastColumn="0" w:oddVBand="0" w:evenVBand="0" w:oddHBand="1" w:evenHBand="0" w:firstRowFirstColumn="0" w:firstRowLastColumn="0" w:lastRowFirstColumn="0" w:lastRowLastColumn="0"/>
          <w:trHeight w:val="2633"/>
        </w:trPr>
        <w:tc>
          <w:tcPr>
            <w:cnfStyle w:val="001000000000" w:firstRow="0" w:lastRow="0" w:firstColumn="1" w:lastColumn="0" w:oddVBand="0" w:evenVBand="0" w:oddHBand="0" w:evenHBand="0" w:firstRowFirstColumn="0" w:firstRowLastColumn="0" w:lastRowFirstColumn="0" w:lastRowLastColumn="0"/>
            <w:tcW w:w="524" w:type="dxa"/>
          </w:tcPr>
          <w:p w14:paraId="5A943F5C" w14:textId="75561B88" w:rsidR="00F94B18" w:rsidRPr="00C422C8" w:rsidRDefault="00F94B18" w:rsidP="00F94B18">
            <w:pPr>
              <w:rPr>
                <w:rFonts w:ascii="Times New Roman" w:hAnsi="Times New Roman" w:cs="Times New Roman"/>
              </w:rPr>
            </w:pPr>
            <w:r>
              <w:rPr>
                <w:rFonts w:ascii="Times New Roman" w:hAnsi="Times New Roman" w:cs="Times New Roman"/>
              </w:rPr>
              <w:lastRenderedPageBreak/>
              <w:t>23</w:t>
            </w:r>
          </w:p>
        </w:tc>
        <w:tc>
          <w:tcPr>
            <w:tcW w:w="2127" w:type="dxa"/>
          </w:tcPr>
          <w:p w14:paraId="044F98D9" w14:textId="036B2167" w:rsidR="00F94B18" w:rsidRPr="00C422C8" w:rsidRDefault="00F94B18" w:rsidP="00F94B1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Регионална дирекция по горите – Русе</w:t>
            </w:r>
          </w:p>
        </w:tc>
        <w:tc>
          <w:tcPr>
            <w:tcW w:w="2275" w:type="dxa"/>
          </w:tcPr>
          <w:p w14:paraId="7CA769EF" w14:textId="3FED1C99" w:rsidR="00F94B18" w:rsidRPr="00C422C8" w:rsidRDefault="00F94B18" w:rsidP="00F94B1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РДГ11-3250/23.06.2025г., получено на 24.06.2025г.</w:t>
            </w:r>
          </w:p>
        </w:tc>
        <w:tc>
          <w:tcPr>
            <w:tcW w:w="6831" w:type="dxa"/>
          </w:tcPr>
          <w:p w14:paraId="066EEB8F" w14:textId="77777777" w:rsidR="00F94B1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С наш изх. № РДГ 11-5749/06.11.2024 г. РДГ - гр. Русе е изразила становище по Задание за определяне на обхват и съдържание на Доклад за ЕО на „Проект на Генерален план на пристанище за обществен транспорт Русе“.</w:t>
            </w:r>
          </w:p>
          <w:p w14:paraId="684F757C" w14:textId="77777777" w:rsidR="00F94B1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Материалите на изготвения Доклад за ЕО на „Проект на Генерален план на пристанище за обществен транспорт Русе” са публикувани на интернет страницата на ДП „Пристанищна</w:t>
            </w:r>
            <w:r>
              <w:rPr>
                <w:rFonts w:ascii="Times New Roman" w:hAnsi="Times New Roman" w:cs="Times New Roman"/>
              </w:rPr>
              <w:t> </w:t>
            </w:r>
          </w:p>
          <w:p w14:paraId="4B5AFA27" w14:textId="77777777" w:rsidR="00F94B1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 xml:space="preserve">инфраструктура’’. По отношение на представената характеристика на околната среда - аспекти на текущото състояние на засегнатите територии, състоянието им без прилагане на плана и след неговото прилагане, РДГ - гр. Русе </w:t>
            </w:r>
            <w:r>
              <w:rPr>
                <w:rFonts w:ascii="Times New Roman" w:hAnsi="Times New Roman" w:cs="Times New Roman"/>
              </w:rPr>
              <w:lastRenderedPageBreak/>
              <w:t>няма възражения. В това отношение компетенциите са изцяло на органа по опазване на околната среда.</w:t>
            </w:r>
          </w:p>
          <w:p w14:paraId="7C3B776A" w14:textId="77777777" w:rsidR="00F94B1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Данните за обхвата на плана в изготвения Доклада за ЕО кореспондират с данните в заданието за неговото изготвяне, в частта, попадаща в района на дейност на РДГ - гр. Русе, в района на дейност „Северноцентрално държавно предприятие” ДП (СЦДП) - гр. Габрово и неговите Териториални поделения (ТП): ТП Държавно ловно стопанство „Дунав” - гр. Русе, ТП Държавно горско стопанство „Тутракан” - гр. Тутракан и ТП Държавно горско стопанство (ТП ДГС) „Силистра” - гр. Силистра.</w:t>
            </w:r>
          </w:p>
          <w:p w14:paraId="10612821" w14:textId="77777777" w:rsidR="00F94B1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Единствено за поземлен имот с идентификатор 00895.506.1 по кадастралната карта и кадастралните регистри на с. Айдемир, община Силистра, област Силистра, се установи, че до момента не е изяснено и отстранено установеното несъответствие: по данните в горскостопанската карта и Горскостопанския план от 2021 г. на ТП ДГС „Силистра” в този имот попада част от подотдел 8 „1”, устроен като „дворно място" с площ 9.3 ха и собственост: „НМЮЛ” (населено място частна собственост на юридическо лице); по данни от предходни инвентаризации и изготвените въз основа на тях горскостопанска карта и Лесоустройствен проект от 2001 г. и Горскостопански план от 2011 г. подотделът е бил с номерация 8 „2”, устроен като „дворно място” с площ 9.1 ха в горска територия - държавна собственост.</w:t>
            </w:r>
          </w:p>
          <w:p w14:paraId="3D98035D" w14:textId="7A4D2EF6" w:rsidR="00F94B18" w:rsidRPr="00C422C8" w:rsidRDefault="00F94B18" w:rsidP="00F94B18">
            <w:pPr>
              <w:tabs>
                <w:tab w:val="left" w:pos="1624"/>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t>Във връзка с горецитирания казус РДГ - гр. Русе е изискала данни от Общинска служба по земеделие - гр. Силистра и Община Силистра. Получените материали (предоставени със съответните техни писма: изх. N9 РД-12-02-389-1/27.05.2025 г. и изх. № ЕО-</w:t>
            </w:r>
            <w:r>
              <w:rPr>
                <w:rFonts w:ascii="Times New Roman" w:hAnsi="Times New Roman" w:cs="Times New Roman"/>
              </w:rPr>
              <w:lastRenderedPageBreak/>
              <w:t>691-001/16.06.2025 г.) предоставяме на СЦДП - гр. Габрово и неговото ТП ДГС „Силистра” с цел подпомагане действията за изясняване и уреждане на установеното несъответствие съвместно със Служба по геодезия, картография и кадастър - гр. Силистра.</w:t>
            </w:r>
          </w:p>
        </w:tc>
        <w:tc>
          <w:tcPr>
            <w:tcW w:w="2191" w:type="dxa"/>
          </w:tcPr>
          <w:p w14:paraId="0BC5E546" w14:textId="7E0F7D50" w:rsidR="00F94B18" w:rsidRDefault="00F94B18" w:rsidP="00F94B1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Pr>
                <w:rFonts w:ascii="Times New Roman" w:hAnsi="Times New Roman" w:cs="Times New Roman"/>
              </w:rPr>
              <w:lastRenderedPageBreak/>
              <w:t xml:space="preserve">Становището не съдържа забележки.  </w:t>
            </w:r>
          </w:p>
        </w:tc>
      </w:tr>
    </w:tbl>
    <w:p w14:paraId="078796F4" w14:textId="77777777" w:rsidR="00A0322B" w:rsidRPr="00C422C8" w:rsidRDefault="00A0322B"/>
    <w:sectPr w:rsidR="00A0322B" w:rsidRPr="00C422C8" w:rsidSect="00B538CB">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811673"/>
    <w:multiLevelType w:val="multilevel"/>
    <w:tmpl w:val="388821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E4C0583"/>
    <w:multiLevelType w:val="multilevel"/>
    <w:tmpl w:val="388821F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031304A"/>
    <w:multiLevelType w:val="hybridMultilevel"/>
    <w:tmpl w:val="6FC09372"/>
    <w:lvl w:ilvl="0" w:tplc="919CB692">
      <w:start w:val="640"/>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5ED4378D"/>
    <w:multiLevelType w:val="hybridMultilevel"/>
    <w:tmpl w:val="77044CD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16cid:durableId="2017878541">
    <w:abstractNumId w:val="2"/>
  </w:num>
  <w:num w:numId="2" w16cid:durableId="355691160">
    <w:abstractNumId w:val="1"/>
  </w:num>
  <w:num w:numId="3" w16cid:durableId="1775857448">
    <w:abstractNumId w:val="0"/>
  </w:num>
  <w:num w:numId="4" w16cid:durableId="1619145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22B"/>
    <w:rsid w:val="0004542B"/>
    <w:rsid w:val="000614F1"/>
    <w:rsid w:val="00064560"/>
    <w:rsid w:val="00074C12"/>
    <w:rsid w:val="000C6D06"/>
    <w:rsid w:val="001B3D9D"/>
    <w:rsid w:val="001C2953"/>
    <w:rsid w:val="001D6CC9"/>
    <w:rsid w:val="001E086B"/>
    <w:rsid w:val="001F05B9"/>
    <w:rsid w:val="001F064E"/>
    <w:rsid w:val="00215EA8"/>
    <w:rsid w:val="00275A31"/>
    <w:rsid w:val="00281FA4"/>
    <w:rsid w:val="002D1AF3"/>
    <w:rsid w:val="002D537D"/>
    <w:rsid w:val="00360569"/>
    <w:rsid w:val="00381121"/>
    <w:rsid w:val="003A18E7"/>
    <w:rsid w:val="003D3B2C"/>
    <w:rsid w:val="003E0F15"/>
    <w:rsid w:val="00402AD7"/>
    <w:rsid w:val="00405DE6"/>
    <w:rsid w:val="00412549"/>
    <w:rsid w:val="00444D24"/>
    <w:rsid w:val="004470CB"/>
    <w:rsid w:val="00481582"/>
    <w:rsid w:val="004878A8"/>
    <w:rsid w:val="004A2861"/>
    <w:rsid w:val="004C27E0"/>
    <w:rsid w:val="004E47A6"/>
    <w:rsid w:val="00500541"/>
    <w:rsid w:val="00543AEA"/>
    <w:rsid w:val="00545BB3"/>
    <w:rsid w:val="00547269"/>
    <w:rsid w:val="00554AAD"/>
    <w:rsid w:val="00557D49"/>
    <w:rsid w:val="00560A06"/>
    <w:rsid w:val="00574C84"/>
    <w:rsid w:val="005B4030"/>
    <w:rsid w:val="005C3BC0"/>
    <w:rsid w:val="00634DF3"/>
    <w:rsid w:val="00663059"/>
    <w:rsid w:val="00667E27"/>
    <w:rsid w:val="00683724"/>
    <w:rsid w:val="006B6B77"/>
    <w:rsid w:val="006E78CD"/>
    <w:rsid w:val="006F4558"/>
    <w:rsid w:val="006F7482"/>
    <w:rsid w:val="007009DE"/>
    <w:rsid w:val="00746617"/>
    <w:rsid w:val="007509D9"/>
    <w:rsid w:val="0077377B"/>
    <w:rsid w:val="00783C83"/>
    <w:rsid w:val="007C2406"/>
    <w:rsid w:val="007F0F65"/>
    <w:rsid w:val="0082363B"/>
    <w:rsid w:val="00872585"/>
    <w:rsid w:val="009031A0"/>
    <w:rsid w:val="009121A3"/>
    <w:rsid w:val="0096062D"/>
    <w:rsid w:val="0096488D"/>
    <w:rsid w:val="00971839"/>
    <w:rsid w:val="009A5BDB"/>
    <w:rsid w:val="009B32CA"/>
    <w:rsid w:val="009E3C70"/>
    <w:rsid w:val="00A0322B"/>
    <w:rsid w:val="00A1644D"/>
    <w:rsid w:val="00A25512"/>
    <w:rsid w:val="00A62945"/>
    <w:rsid w:val="00A653E4"/>
    <w:rsid w:val="00A73A41"/>
    <w:rsid w:val="00A74A00"/>
    <w:rsid w:val="00B34D9A"/>
    <w:rsid w:val="00B5287D"/>
    <w:rsid w:val="00B53751"/>
    <w:rsid w:val="00B538CB"/>
    <w:rsid w:val="00B559BA"/>
    <w:rsid w:val="00B75EE4"/>
    <w:rsid w:val="00B80147"/>
    <w:rsid w:val="00B972CE"/>
    <w:rsid w:val="00BA35A0"/>
    <w:rsid w:val="00BC72E4"/>
    <w:rsid w:val="00BF2150"/>
    <w:rsid w:val="00C011B2"/>
    <w:rsid w:val="00C422C8"/>
    <w:rsid w:val="00C749D2"/>
    <w:rsid w:val="00CF74CF"/>
    <w:rsid w:val="00D04C83"/>
    <w:rsid w:val="00D32787"/>
    <w:rsid w:val="00D332A8"/>
    <w:rsid w:val="00D5783A"/>
    <w:rsid w:val="00D61CF5"/>
    <w:rsid w:val="00D8690C"/>
    <w:rsid w:val="00DB10A6"/>
    <w:rsid w:val="00DD6EAD"/>
    <w:rsid w:val="00DE39AB"/>
    <w:rsid w:val="00E11075"/>
    <w:rsid w:val="00E22E00"/>
    <w:rsid w:val="00E548C9"/>
    <w:rsid w:val="00EB0B7B"/>
    <w:rsid w:val="00EE04AD"/>
    <w:rsid w:val="00EE6FC0"/>
    <w:rsid w:val="00F0524C"/>
    <w:rsid w:val="00F144E2"/>
    <w:rsid w:val="00F33031"/>
    <w:rsid w:val="00F444C3"/>
    <w:rsid w:val="00F47678"/>
    <w:rsid w:val="00F57C1B"/>
    <w:rsid w:val="00F60AD8"/>
    <w:rsid w:val="00F76AF5"/>
    <w:rsid w:val="00F94B1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B9AFA"/>
  <w15:chartTrackingRefBased/>
  <w15:docId w15:val="{D5C45AC8-0A97-431B-BA11-73C9A5065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bg-BG"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322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322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322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322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322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322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322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322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322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22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322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322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322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322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322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322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322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322B"/>
    <w:rPr>
      <w:rFonts w:eastAsiaTheme="majorEastAsia" w:cstheme="majorBidi"/>
      <w:color w:val="272727" w:themeColor="text1" w:themeTint="D8"/>
    </w:rPr>
  </w:style>
  <w:style w:type="paragraph" w:styleId="Title">
    <w:name w:val="Title"/>
    <w:basedOn w:val="Normal"/>
    <w:next w:val="Normal"/>
    <w:link w:val="TitleChar"/>
    <w:uiPriority w:val="10"/>
    <w:qFormat/>
    <w:rsid w:val="00A032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32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32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322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322B"/>
    <w:pPr>
      <w:spacing w:before="160"/>
      <w:jc w:val="center"/>
    </w:pPr>
    <w:rPr>
      <w:i/>
      <w:iCs/>
      <w:color w:val="404040" w:themeColor="text1" w:themeTint="BF"/>
    </w:rPr>
  </w:style>
  <w:style w:type="character" w:customStyle="1" w:styleId="QuoteChar">
    <w:name w:val="Quote Char"/>
    <w:basedOn w:val="DefaultParagraphFont"/>
    <w:link w:val="Quote"/>
    <w:uiPriority w:val="29"/>
    <w:rsid w:val="00A0322B"/>
    <w:rPr>
      <w:i/>
      <w:iCs/>
      <w:color w:val="404040" w:themeColor="text1" w:themeTint="BF"/>
    </w:rPr>
  </w:style>
  <w:style w:type="paragraph" w:styleId="ListParagraph">
    <w:name w:val="List Paragraph"/>
    <w:basedOn w:val="Normal"/>
    <w:uiPriority w:val="34"/>
    <w:qFormat/>
    <w:rsid w:val="00A0322B"/>
    <w:pPr>
      <w:ind w:left="720"/>
      <w:contextualSpacing/>
    </w:pPr>
  </w:style>
  <w:style w:type="character" w:styleId="IntenseEmphasis">
    <w:name w:val="Intense Emphasis"/>
    <w:basedOn w:val="DefaultParagraphFont"/>
    <w:uiPriority w:val="21"/>
    <w:qFormat/>
    <w:rsid w:val="00A0322B"/>
    <w:rPr>
      <w:i/>
      <w:iCs/>
      <w:color w:val="0F4761" w:themeColor="accent1" w:themeShade="BF"/>
    </w:rPr>
  </w:style>
  <w:style w:type="paragraph" w:styleId="IntenseQuote">
    <w:name w:val="Intense Quote"/>
    <w:basedOn w:val="Normal"/>
    <w:next w:val="Normal"/>
    <w:link w:val="IntenseQuoteChar"/>
    <w:uiPriority w:val="30"/>
    <w:qFormat/>
    <w:rsid w:val="00A0322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322B"/>
    <w:rPr>
      <w:i/>
      <w:iCs/>
      <w:color w:val="0F4761" w:themeColor="accent1" w:themeShade="BF"/>
    </w:rPr>
  </w:style>
  <w:style w:type="character" w:styleId="IntenseReference">
    <w:name w:val="Intense Reference"/>
    <w:basedOn w:val="DefaultParagraphFont"/>
    <w:uiPriority w:val="32"/>
    <w:qFormat/>
    <w:rsid w:val="00A0322B"/>
    <w:rPr>
      <w:b/>
      <w:bCs/>
      <w:smallCaps/>
      <w:color w:val="0F4761" w:themeColor="accent1" w:themeShade="BF"/>
      <w:spacing w:val="5"/>
    </w:rPr>
  </w:style>
  <w:style w:type="table" w:styleId="TableGrid">
    <w:name w:val="Table Grid"/>
    <w:basedOn w:val="TableNormal"/>
    <w:uiPriority w:val="39"/>
    <w:rsid w:val="00B538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5Dark-Accent1">
    <w:name w:val="Grid Table 5 Dark Accent 1"/>
    <w:basedOn w:val="TableNormal"/>
    <w:uiPriority w:val="50"/>
    <w:rsid w:val="00D8690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table" w:styleId="GridTable5Dark-Accent4">
    <w:name w:val="Grid Table 5 Dark Accent 4"/>
    <w:basedOn w:val="TableNormal"/>
    <w:uiPriority w:val="50"/>
    <w:rsid w:val="00545BB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AEDFB"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9ED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9ED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9ED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9ED5" w:themeFill="accent4"/>
      </w:tcPr>
    </w:tblStylePr>
    <w:tblStylePr w:type="band1Vert">
      <w:tblPr/>
      <w:tcPr>
        <w:shd w:val="clear" w:color="auto" w:fill="95DCF7" w:themeFill="accent4" w:themeFillTint="66"/>
      </w:tcPr>
    </w:tblStylePr>
    <w:tblStylePr w:type="band1Horz">
      <w:tblPr/>
      <w:tcPr>
        <w:shd w:val="clear" w:color="auto" w:fill="95DCF7" w:themeFill="accent4" w:themeFillTint="66"/>
      </w:tcPr>
    </w:tblStylePr>
  </w:style>
  <w:style w:type="table" w:styleId="GridTable4-Accent4">
    <w:name w:val="Grid Table 4 Accent 4"/>
    <w:basedOn w:val="TableNormal"/>
    <w:uiPriority w:val="49"/>
    <w:rsid w:val="00545BB3"/>
    <w:pPr>
      <w:spacing w:after="0" w:line="240" w:lineRule="auto"/>
    </w:pPr>
    <w:tblPr>
      <w:tblStyleRowBandSize w:val="1"/>
      <w:tblStyleColBandSize w:val="1"/>
      <w:tblBorders>
        <w:top w:val="single" w:sz="4" w:space="0" w:color="60CAF3" w:themeColor="accent4" w:themeTint="99"/>
        <w:left w:val="single" w:sz="4" w:space="0" w:color="60CAF3" w:themeColor="accent4" w:themeTint="99"/>
        <w:bottom w:val="single" w:sz="4" w:space="0" w:color="60CAF3" w:themeColor="accent4" w:themeTint="99"/>
        <w:right w:val="single" w:sz="4" w:space="0" w:color="60CAF3" w:themeColor="accent4" w:themeTint="99"/>
        <w:insideH w:val="single" w:sz="4" w:space="0" w:color="60CAF3" w:themeColor="accent4" w:themeTint="99"/>
        <w:insideV w:val="single" w:sz="4" w:space="0" w:color="60CAF3" w:themeColor="accent4" w:themeTint="99"/>
      </w:tblBorders>
    </w:tblPr>
    <w:tblStylePr w:type="firstRow">
      <w:rPr>
        <w:b/>
        <w:bCs/>
        <w:color w:val="FFFFFF" w:themeColor="background1"/>
      </w:rPr>
      <w:tblPr/>
      <w:tcPr>
        <w:tcBorders>
          <w:top w:val="single" w:sz="4" w:space="0" w:color="0F9ED5" w:themeColor="accent4"/>
          <w:left w:val="single" w:sz="4" w:space="0" w:color="0F9ED5" w:themeColor="accent4"/>
          <w:bottom w:val="single" w:sz="4" w:space="0" w:color="0F9ED5" w:themeColor="accent4"/>
          <w:right w:val="single" w:sz="4" w:space="0" w:color="0F9ED5" w:themeColor="accent4"/>
          <w:insideH w:val="nil"/>
          <w:insideV w:val="nil"/>
        </w:tcBorders>
        <w:shd w:val="clear" w:color="auto" w:fill="0F9ED5" w:themeFill="accent4"/>
      </w:tcPr>
    </w:tblStylePr>
    <w:tblStylePr w:type="lastRow">
      <w:rPr>
        <w:b/>
        <w:bCs/>
      </w:rPr>
      <w:tblPr/>
      <w:tcPr>
        <w:tcBorders>
          <w:top w:val="double" w:sz="4" w:space="0" w:color="0F9ED5" w:themeColor="accent4"/>
        </w:tcBorders>
      </w:tcPr>
    </w:tblStylePr>
    <w:tblStylePr w:type="firstCol">
      <w:rPr>
        <w:b/>
        <w:bCs/>
      </w:rPr>
    </w:tblStylePr>
    <w:tblStylePr w:type="lastCol">
      <w:rPr>
        <w:b/>
        <w:bCs/>
      </w:rPr>
    </w:tblStylePr>
    <w:tblStylePr w:type="band1Vert">
      <w:tblPr/>
      <w:tcPr>
        <w:shd w:val="clear" w:color="auto" w:fill="CAEDFB" w:themeFill="accent4" w:themeFillTint="33"/>
      </w:tcPr>
    </w:tblStylePr>
    <w:tblStylePr w:type="band1Horz">
      <w:tblPr/>
      <w:tcPr>
        <w:shd w:val="clear" w:color="auto" w:fill="CAEDFB" w:themeFill="accent4" w:themeFillTint="33"/>
      </w:tcPr>
    </w:tblStylePr>
  </w:style>
  <w:style w:type="character" w:styleId="Hyperlink">
    <w:name w:val="Hyperlink"/>
    <w:rsid w:val="00444D24"/>
    <w:rPr>
      <w:color w:val="0000FF"/>
      <w:u w:val="single"/>
    </w:rPr>
  </w:style>
  <w:style w:type="character" w:customStyle="1" w:styleId="2">
    <w:name w:val="Основен текст (2)_"/>
    <w:basedOn w:val="DefaultParagraphFont"/>
    <w:link w:val="20"/>
    <w:rsid w:val="00783C83"/>
    <w:rPr>
      <w:rFonts w:ascii="Times New Roman" w:eastAsia="Times New Roman" w:hAnsi="Times New Roman" w:cs="Times New Roman"/>
      <w:shd w:val="clear" w:color="auto" w:fill="FFFFFF"/>
    </w:rPr>
  </w:style>
  <w:style w:type="paragraph" w:customStyle="1" w:styleId="20">
    <w:name w:val="Основен текст (2)"/>
    <w:basedOn w:val="Normal"/>
    <w:link w:val="2"/>
    <w:rsid w:val="00783C83"/>
    <w:pPr>
      <w:widowControl w:val="0"/>
      <w:shd w:val="clear" w:color="auto" w:fill="FFFFFF"/>
      <w:spacing w:after="0" w:line="317" w:lineRule="exact"/>
      <w:ind w:firstLine="760"/>
      <w:jc w:val="both"/>
    </w:pPr>
    <w:rPr>
      <w:rFonts w:ascii="Times New Roman" w:eastAsia="Times New Roman" w:hAnsi="Times New Roman" w:cs="Times New Roman"/>
    </w:rPr>
  </w:style>
  <w:style w:type="character" w:customStyle="1" w:styleId="8Exact">
    <w:name w:val="Основен текст (8) Exact"/>
    <w:basedOn w:val="DefaultParagraphFont"/>
    <w:link w:val="8"/>
    <w:rsid w:val="00CF74CF"/>
    <w:rPr>
      <w:rFonts w:ascii="Times New Roman" w:eastAsia="Times New Roman" w:hAnsi="Times New Roman" w:cs="Times New Roman"/>
      <w:sz w:val="21"/>
      <w:szCs w:val="21"/>
      <w:shd w:val="clear" w:color="auto" w:fill="FFFFFF"/>
    </w:rPr>
  </w:style>
  <w:style w:type="character" w:customStyle="1" w:styleId="9Exact">
    <w:name w:val="Основен текст (9) Exact"/>
    <w:basedOn w:val="DefaultParagraphFont"/>
    <w:link w:val="9"/>
    <w:rsid w:val="00CF74CF"/>
    <w:rPr>
      <w:rFonts w:ascii="Tahoma" w:eastAsia="Tahoma" w:hAnsi="Tahoma" w:cs="Tahoma"/>
      <w:sz w:val="9"/>
      <w:szCs w:val="9"/>
      <w:shd w:val="clear" w:color="auto" w:fill="FFFFFF"/>
    </w:rPr>
  </w:style>
  <w:style w:type="character" w:customStyle="1" w:styleId="10Exact">
    <w:name w:val="Основен текст (10) Exact"/>
    <w:basedOn w:val="DefaultParagraphFont"/>
    <w:link w:val="10"/>
    <w:rsid w:val="00CF74CF"/>
    <w:rPr>
      <w:rFonts w:ascii="Times New Roman" w:eastAsia="Times New Roman" w:hAnsi="Times New Roman" w:cs="Times New Roman"/>
      <w:sz w:val="19"/>
      <w:szCs w:val="19"/>
      <w:shd w:val="clear" w:color="auto" w:fill="FFFFFF"/>
    </w:rPr>
  </w:style>
  <w:style w:type="character" w:customStyle="1" w:styleId="3Exact">
    <w:name w:val="Заглавие на изображение (3) Exact"/>
    <w:basedOn w:val="DefaultParagraphFont"/>
    <w:link w:val="3"/>
    <w:rsid w:val="00CF74CF"/>
    <w:rPr>
      <w:rFonts w:ascii="Lucida Sans Unicode" w:eastAsia="Lucida Sans Unicode" w:hAnsi="Lucida Sans Unicode" w:cs="Lucida Sans Unicode"/>
      <w:spacing w:val="-10"/>
      <w:sz w:val="15"/>
      <w:szCs w:val="15"/>
      <w:shd w:val="clear" w:color="auto" w:fill="FFFFFF"/>
    </w:rPr>
  </w:style>
  <w:style w:type="character" w:customStyle="1" w:styleId="6">
    <w:name w:val="Основен текст (6)_"/>
    <w:basedOn w:val="DefaultParagraphFont"/>
    <w:link w:val="60"/>
    <w:rsid w:val="00CF74CF"/>
    <w:rPr>
      <w:rFonts w:ascii="Times New Roman" w:eastAsia="Times New Roman" w:hAnsi="Times New Roman" w:cs="Times New Roman"/>
      <w:b/>
      <w:bCs/>
      <w:sz w:val="22"/>
      <w:szCs w:val="22"/>
      <w:shd w:val="clear" w:color="auto" w:fill="FFFFFF"/>
    </w:rPr>
  </w:style>
  <w:style w:type="paragraph" w:customStyle="1" w:styleId="8">
    <w:name w:val="Основен текст (8)"/>
    <w:basedOn w:val="Normal"/>
    <w:link w:val="8Exact"/>
    <w:rsid w:val="00CF74CF"/>
    <w:pPr>
      <w:widowControl w:val="0"/>
      <w:shd w:val="clear" w:color="auto" w:fill="FFFFFF"/>
      <w:spacing w:after="0" w:line="0" w:lineRule="atLeast"/>
    </w:pPr>
    <w:rPr>
      <w:rFonts w:ascii="Times New Roman" w:eastAsia="Times New Roman" w:hAnsi="Times New Roman" w:cs="Times New Roman"/>
      <w:sz w:val="21"/>
      <w:szCs w:val="21"/>
    </w:rPr>
  </w:style>
  <w:style w:type="paragraph" w:customStyle="1" w:styleId="9">
    <w:name w:val="Основен текст (9)"/>
    <w:basedOn w:val="Normal"/>
    <w:link w:val="9Exact"/>
    <w:rsid w:val="00CF74CF"/>
    <w:pPr>
      <w:widowControl w:val="0"/>
      <w:shd w:val="clear" w:color="auto" w:fill="FFFFFF"/>
      <w:spacing w:after="0" w:line="0" w:lineRule="atLeast"/>
    </w:pPr>
    <w:rPr>
      <w:rFonts w:ascii="Tahoma" w:eastAsia="Tahoma" w:hAnsi="Tahoma" w:cs="Tahoma"/>
      <w:sz w:val="9"/>
      <w:szCs w:val="9"/>
    </w:rPr>
  </w:style>
  <w:style w:type="paragraph" w:customStyle="1" w:styleId="10">
    <w:name w:val="Основен текст (10)"/>
    <w:basedOn w:val="Normal"/>
    <w:link w:val="10Exact"/>
    <w:rsid w:val="00CF74CF"/>
    <w:pPr>
      <w:widowControl w:val="0"/>
      <w:shd w:val="clear" w:color="auto" w:fill="FFFFFF"/>
      <w:spacing w:after="0" w:line="202" w:lineRule="exact"/>
      <w:ind w:firstLine="1200"/>
    </w:pPr>
    <w:rPr>
      <w:rFonts w:ascii="Times New Roman" w:eastAsia="Times New Roman" w:hAnsi="Times New Roman" w:cs="Times New Roman"/>
      <w:sz w:val="19"/>
      <w:szCs w:val="19"/>
    </w:rPr>
  </w:style>
  <w:style w:type="paragraph" w:customStyle="1" w:styleId="3">
    <w:name w:val="Заглавие на изображение (3)"/>
    <w:basedOn w:val="Normal"/>
    <w:link w:val="3Exact"/>
    <w:rsid w:val="00CF74CF"/>
    <w:pPr>
      <w:widowControl w:val="0"/>
      <w:shd w:val="clear" w:color="auto" w:fill="FFFFFF"/>
      <w:spacing w:after="0" w:line="0" w:lineRule="atLeast"/>
    </w:pPr>
    <w:rPr>
      <w:rFonts w:ascii="Lucida Sans Unicode" w:eastAsia="Lucida Sans Unicode" w:hAnsi="Lucida Sans Unicode" w:cs="Lucida Sans Unicode"/>
      <w:spacing w:val="-10"/>
      <w:sz w:val="15"/>
      <w:szCs w:val="15"/>
    </w:rPr>
  </w:style>
  <w:style w:type="paragraph" w:customStyle="1" w:styleId="60">
    <w:name w:val="Основен текст (6)"/>
    <w:basedOn w:val="Normal"/>
    <w:link w:val="6"/>
    <w:rsid w:val="00CF74CF"/>
    <w:pPr>
      <w:widowControl w:val="0"/>
      <w:shd w:val="clear" w:color="auto" w:fill="FFFFFF"/>
      <w:spacing w:after="540" w:line="274" w:lineRule="exact"/>
    </w:pPr>
    <w:rPr>
      <w:rFonts w:ascii="Times New Roman" w:eastAsia="Times New Roman" w:hAnsi="Times New Roman" w:cs="Times New Roman"/>
      <w:b/>
      <w:bCs/>
      <w:sz w:val="22"/>
      <w:szCs w:val="22"/>
    </w:rPr>
  </w:style>
  <w:style w:type="character" w:styleId="PlaceholderText">
    <w:name w:val="Placeholder Text"/>
    <w:basedOn w:val="DefaultParagraphFont"/>
    <w:uiPriority w:val="99"/>
    <w:semiHidden/>
    <w:rsid w:val="00BF2150"/>
    <w:rPr>
      <w:color w:val="666666"/>
    </w:rPr>
  </w:style>
  <w:style w:type="character" w:customStyle="1" w:styleId="21">
    <w:name w:val="Основен текст (2) + Удебелен"/>
    <w:basedOn w:val="2"/>
    <w:rsid w:val="004C27E0"/>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bg-BG" w:eastAsia="bg-BG" w:bidi="bg-BG"/>
    </w:rPr>
  </w:style>
  <w:style w:type="character" w:customStyle="1" w:styleId="4">
    <w:name w:val="Основен текст (4) + Не е удебелен"/>
    <w:basedOn w:val="DefaultParagraphFont"/>
    <w:rsid w:val="004C27E0"/>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7421330">
      <w:bodyDiv w:val="1"/>
      <w:marLeft w:val="0"/>
      <w:marRight w:val="0"/>
      <w:marTop w:val="0"/>
      <w:marBottom w:val="0"/>
      <w:divBdr>
        <w:top w:val="none" w:sz="0" w:space="0" w:color="auto"/>
        <w:left w:val="none" w:sz="0" w:space="0" w:color="auto"/>
        <w:bottom w:val="none" w:sz="0" w:space="0" w:color="auto"/>
        <w:right w:val="none" w:sz="0" w:space="0" w:color="auto"/>
      </w:divBdr>
    </w:div>
    <w:div w:id="428737817">
      <w:bodyDiv w:val="1"/>
      <w:marLeft w:val="0"/>
      <w:marRight w:val="0"/>
      <w:marTop w:val="0"/>
      <w:marBottom w:val="0"/>
      <w:divBdr>
        <w:top w:val="none" w:sz="0" w:space="0" w:color="auto"/>
        <w:left w:val="none" w:sz="0" w:space="0" w:color="auto"/>
        <w:bottom w:val="none" w:sz="0" w:space="0" w:color="auto"/>
        <w:right w:val="none" w:sz="0" w:space="0" w:color="auto"/>
      </w:divBdr>
    </w:div>
    <w:div w:id="700011751">
      <w:bodyDiv w:val="1"/>
      <w:marLeft w:val="0"/>
      <w:marRight w:val="0"/>
      <w:marTop w:val="0"/>
      <w:marBottom w:val="0"/>
      <w:divBdr>
        <w:top w:val="none" w:sz="0" w:space="0" w:color="auto"/>
        <w:left w:val="none" w:sz="0" w:space="0" w:color="auto"/>
        <w:bottom w:val="none" w:sz="0" w:space="0" w:color="auto"/>
        <w:right w:val="none" w:sz="0" w:space="0" w:color="auto"/>
      </w:divBdr>
    </w:div>
    <w:div w:id="1030104433">
      <w:bodyDiv w:val="1"/>
      <w:marLeft w:val="0"/>
      <w:marRight w:val="0"/>
      <w:marTop w:val="0"/>
      <w:marBottom w:val="0"/>
      <w:divBdr>
        <w:top w:val="none" w:sz="0" w:space="0" w:color="auto"/>
        <w:left w:val="none" w:sz="0" w:space="0" w:color="auto"/>
        <w:bottom w:val="none" w:sz="0" w:space="0" w:color="auto"/>
        <w:right w:val="none" w:sz="0" w:space="0" w:color="auto"/>
      </w:divBdr>
    </w:div>
    <w:div w:id="1638220948">
      <w:bodyDiv w:val="1"/>
      <w:marLeft w:val="0"/>
      <w:marRight w:val="0"/>
      <w:marTop w:val="0"/>
      <w:marBottom w:val="0"/>
      <w:divBdr>
        <w:top w:val="none" w:sz="0" w:space="0" w:color="auto"/>
        <w:left w:val="none" w:sz="0" w:space="0" w:color="auto"/>
        <w:bottom w:val="none" w:sz="0" w:space="0" w:color="auto"/>
        <w:right w:val="none" w:sz="0" w:space="0" w:color="auto"/>
      </w:divBdr>
    </w:div>
    <w:div w:id="1653291229">
      <w:bodyDiv w:val="1"/>
      <w:marLeft w:val="0"/>
      <w:marRight w:val="0"/>
      <w:marTop w:val="0"/>
      <w:marBottom w:val="0"/>
      <w:divBdr>
        <w:top w:val="none" w:sz="0" w:space="0" w:color="auto"/>
        <w:left w:val="none" w:sz="0" w:space="0" w:color="auto"/>
        <w:bottom w:val="none" w:sz="0" w:space="0" w:color="auto"/>
        <w:right w:val="none" w:sz="0" w:space="0" w:color="auto"/>
      </w:divBdr>
    </w:div>
    <w:div w:id="1691954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bgports.bg/bg/page/121%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672</TotalTime>
  <Pages>56</Pages>
  <Words>11388</Words>
  <Characters>64915</Characters>
  <Application>Microsoft Office Word</Application>
  <DocSecurity>0</DocSecurity>
  <Lines>540</Lines>
  <Paragraphs>152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76151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Iglika Chamurova</dc:creator>
  <cp:keywords/>
  <dc:description/>
  <cp:lastModifiedBy>LOQ</cp:lastModifiedBy>
  <cp:revision>97</cp:revision>
  <dcterms:created xsi:type="dcterms:W3CDTF">2025-06-24T08:09:00Z</dcterms:created>
  <dcterms:modified xsi:type="dcterms:W3CDTF">2025-07-24T12:38:00Z</dcterms:modified>
</cp:coreProperties>
</file>